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9D" w:rsidRPr="00CC1A0B" w:rsidRDefault="00CC1A0B" w:rsidP="00CC1A0B">
      <w:pPr>
        <w:rPr>
          <w:rFonts w:ascii="Arial" w:hAnsi="Arial" w:cs="Arial"/>
          <w:sz w:val="20"/>
          <w:szCs w:val="20"/>
        </w:rPr>
      </w:pPr>
      <w:bookmarkStart w:id="0" w:name="_GoBack"/>
      <w:bookmarkEnd w:id="0"/>
      <w:r w:rsidRPr="00CC1A0B">
        <w:rPr>
          <w:rFonts w:ascii="Arial" w:hAnsi="Arial" w:cs="Arial"/>
          <w:sz w:val="20"/>
          <w:szCs w:val="20"/>
        </w:rPr>
        <w:t>Predlog sprememb Zakona o javnem interesu v mladinskem sektorju (Uradni list RS, št. 42/10</w:t>
      </w:r>
      <w:r w:rsidR="00EB7F39">
        <w:rPr>
          <w:rFonts w:ascii="Arial" w:hAnsi="Arial" w:cs="Arial"/>
          <w:sz w:val="20"/>
          <w:szCs w:val="20"/>
        </w:rPr>
        <w:t>; v nadaljevanju: ZJIMS</w:t>
      </w:r>
      <w:r w:rsidRPr="00CC1A0B">
        <w:rPr>
          <w:rFonts w:ascii="Arial" w:hAnsi="Arial" w:cs="Arial"/>
          <w:sz w:val="20"/>
          <w:szCs w:val="20"/>
        </w:rPr>
        <w:t>):</w:t>
      </w:r>
    </w:p>
    <w:tbl>
      <w:tblPr>
        <w:tblStyle w:val="Tabelamrea"/>
        <w:tblW w:w="0" w:type="auto"/>
        <w:tblLook w:val="04A0" w:firstRow="1" w:lastRow="0" w:firstColumn="1" w:lastColumn="0" w:noHBand="0" w:noVBand="1"/>
      </w:tblPr>
      <w:tblGrid>
        <w:gridCol w:w="4531"/>
        <w:gridCol w:w="4531"/>
      </w:tblGrid>
      <w:tr w:rsidR="00CC1A0B" w:rsidRPr="00CC1A0B" w:rsidTr="00D0208E">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1. odstavek 11. člen ZJIMS</w:t>
            </w:r>
          </w:p>
        </w:tc>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Doda se nova 4. alinea z vsebino: »da so registrirane in izvajajo programe v mladinskem sektorju v skladu s prvo alinejo tega odstavka zadnji dve leti pred vložitvijo vloge.«</w:t>
            </w:r>
          </w:p>
        </w:tc>
      </w:tr>
      <w:tr w:rsidR="00CC1A0B" w:rsidRPr="00CC1A0B" w:rsidTr="00D0208E">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1. in 2. točka 2. odstavka 11. člena</w:t>
            </w:r>
            <w:r w:rsidR="007D26DD">
              <w:rPr>
                <w:rFonts w:ascii="Arial" w:hAnsi="Arial" w:cs="Arial"/>
                <w:sz w:val="20"/>
                <w:szCs w:val="20"/>
              </w:rPr>
              <w:t xml:space="preserve"> ZJIMS</w:t>
            </w:r>
          </w:p>
        </w:tc>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Pogoj »najmanj 90% članstva v starosti do 29 let« ni v skladu z definicijo mladih iz 1. alineje 3. člena ZJIMS, ki določa, da so mladi »mladostniki in mlade odrasle osebe obeh spolov, stari od 15. do dopolnjenega 29. leta«.</w:t>
            </w:r>
          </w:p>
        </w:tc>
      </w:tr>
      <w:tr w:rsidR="00CC1A0B" w:rsidRPr="00CC1A0B" w:rsidTr="00D0208E">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1. točka 2. odstavka 11. člena</w:t>
            </w:r>
            <w:r w:rsidR="007D26DD">
              <w:rPr>
                <w:rFonts w:ascii="Arial" w:hAnsi="Arial" w:cs="Arial"/>
                <w:sz w:val="20"/>
                <w:szCs w:val="20"/>
              </w:rPr>
              <w:t xml:space="preserve"> ZJIMS</w:t>
            </w:r>
          </w:p>
        </w:tc>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Za društva/zvezo in del društva/zveze so določeni različni pogoji, čeprav bi morali biti smiselno enaki (tudi za del društva/zveze bi morali biti določeni pogoji po Zakonu o društvih, dodatno pa še pogoj, ki dokazuje avtonomijo, ki pa je že zahtevan). Tudi za mladinske organizacije bi moral veljati pogoj, da je avtonomna enota sredstvi zadnji dve leti pred vložitvijo vloge namenila za dejavnost v javnem interesu. Tudi mladinska organizacija mora imeti izdelan program bodočega delovanja.</w:t>
            </w:r>
          </w:p>
        </w:tc>
      </w:tr>
      <w:tr w:rsidR="00CC1A0B" w:rsidRPr="00CC1A0B" w:rsidTr="00D0208E">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3. točka 2. odstavka 11. člena</w:t>
            </w:r>
            <w:r w:rsidR="007D26DD">
              <w:rPr>
                <w:rFonts w:ascii="Arial" w:hAnsi="Arial" w:cs="Arial"/>
                <w:sz w:val="20"/>
                <w:szCs w:val="20"/>
              </w:rPr>
              <w:t xml:space="preserve"> ZJIMS</w:t>
            </w:r>
          </w:p>
        </w:tc>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K organizacijam za mlade bi bilo potrebno dodati še pogoj, da imajo izdelan program bodočega delovanja ter pogoj, da je iz temeljnega akta razvidna dejavnost v javnem interesu.</w:t>
            </w:r>
          </w:p>
        </w:tc>
      </w:tr>
      <w:tr w:rsidR="00CC1A0B" w:rsidRPr="00CC1A0B" w:rsidTr="00D0208E">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1. odstavek 12. člena</w:t>
            </w:r>
            <w:r w:rsidR="007D26DD">
              <w:rPr>
                <w:rFonts w:ascii="Arial" w:hAnsi="Arial" w:cs="Arial"/>
                <w:sz w:val="20"/>
                <w:szCs w:val="20"/>
              </w:rPr>
              <w:t xml:space="preserve"> ZJIMS</w:t>
            </w:r>
          </w:p>
        </w:tc>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»Mladinska organizacija, ki ima status…« Stavek se prične z napačnim pojmovanjem; pravilneje: »Društvo/zveza društev ali mladinska organizacija, ki ima status…«</w:t>
            </w:r>
          </w:p>
        </w:tc>
      </w:tr>
      <w:tr w:rsidR="00CC1A0B" w:rsidRPr="00CC1A0B" w:rsidTr="00D0208E">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2. odstavek 13. člena</w:t>
            </w:r>
            <w:r w:rsidR="007D26DD">
              <w:rPr>
                <w:rFonts w:ascii="Arial" w:hAnsi="Arial" w:cs="Arial"/>
                <w:sz w:val="20"/>
                <w:szCs w:val="20"/>
              </w:rPr>
              <w:t xml:space="preserve"> ZJIMS</w:t>
            </w:r>
          </w:p>
        </w:tc>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Tudi za subjekte iz 1. točke 2. odstavka 11. člena se glede podelitve, delovanja in odvzema statusa organizacije v javnem interesu smiselno uporablja zakon, ki ureja društva, če ta zakon ne določa drugače.</w:t>
            </w:r>
          </w:p>
        </w:tc>
      </w:tr>
      <w:tr w:rsidR="00CC1A0B" w:rsidRPr="00CC1A0B" w:rsidTr="00D0208E">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18., 19. in 20. člen</w:t>
            </w:r>
            <w:r w:rsidR="007D26DD">
              <w:rPr>
                <w:rFonts w:ascii="Arial" w:hAnsi="Arial" w:cs="Arial"/>
                <w:sz w:val="20"/>
                <w:szCs w:val="20"/>
              </w:rPr>
              <w:t xml:space="preserve"> ZJIMS</w:t>
            </w:r>
          </w:p>
        </w:tc>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Členi ne sledijo trenutno uveljavljeni teoriji in praksi, kdaj se izvede JAVNI POZIV, kdaj pa JAVNI RAZPIS.</w:t>
            </w:r>
          </w:p>
        </w:tc>
      </w:tr>
      <w:tr w:rsidR="00CC1A0B" w:rsidRPr="00CC1A0B" w:rsidTr="00D0208E">
        <w:tc>
          <w:tcPr>
            <w:tcW w:w="4531" w:type="dxa"/>
          </w:tcPr>
          <w:p w:rsidR="00CC1A0B" w:rsidRPr="00CC1A0B" w:rsidRDefault="00CC1A0B" w:rsidP="007D26DD">
            <w:pPr>
              <w:jc w:val="both"/>
              <w:rPr>
                <w:rFonts w:ascii="Arial" w:hAnsi="Arial" w:cs="Arial"/>
                <w:sz w:val="20"/>
                <w:szCs w:val="20"/>
              </w:rPr>
            </w:pPr>
            <w:r w:rsidRPr="00CC1A0B">
              <w:rPr>
                <w:rFonts w:ascii="Arial" w:hAnsi="Arial" w:cs="Arial"/>
                <w:sz w:val="20"/>
                <w:szCs w:val="20"/>
              </w:rPr>
              <w:t>Člen še ni določen</w:t>
            </w:r>
            <w:r w:rsidR="007D26DD">
              <w:rPr>
                <w:rFonts w:ascii="Arial" w:hAnsi="Arial" w:cs="Arial"/>
                <w:sz w:val="20"/>
                <w:szCs w:val="20"/>
              </w:rPr>
              <w:t xml:space="preserve"> </w:t>
            </w:r>
          </w:p>
        </w:tc>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Ko za status delovanja v javnem interesu zaprosita tako zasebni zavod, kot tudi zavod, ki ga je prejšnji zavod ustanovil, se pojavi problem pri financiranju pri prijavi na javni poziv – kako preprečiti dvojno financiranje / enak problem se pojavi, ko se prijavita na javni poziv tako nacionalka, kot tudi njene posamezne enote.</w:t>
            </w:r>
          </w:p>
        </w:tc>
      </w:tr>
      <w:tr w:rsidR="00CC1A0B" w:rsidRPr="00CC1A0B" w:rsidTr="00D0208E">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Člen še ni določen</w:t>
            </w:r>
          </w:p>
        </w:tc>
        <w:tc>
          <w:tcPr>
            <w:tcW w:w="4531" w:type="dxa"/>
          </w:tcPr>
          <w:p w:rsidR="00CC1A0B" w:rsidRPr="00CC1A0B" w:rsidRDefault="00CC1A0B" w:rsidP="00D0208E">
            <w:pPr>
              <w:jc w:val="both"/>
              <w:rPr>
                <w:rFonts w:ascii="Arial" w:hAnsi="Arial" w:cs="Arial"/>
                <w:sz w:val="20"/>
                <w:szCs w:val="20"/>
              </w:rPr>
            </w:pPr>
            <w:r w:rsidRPr="00CC1A0B">
              <w:rPr>
                <w:rFonts w:ascii="Arial" w:hAnsi="Arial" w:cs="Arial"/>
                <w:color w:val="000000"/>
                <w:sz w:val="20"/>
                <w:szCs w:val="20"/>
              </w:rPr>
              <w:t>Dolgoročno je potrebno urediti sistem nacionalnih agencij in kontaktnih točk mednarodnih organizacij (z nalogami izvajanja določenih programov in nalog), ker gre za sistem, ki ga mednarodne organizacije (Evropska unija) pričakuje od držav članic. Okvirni postopek je sledeč: mednarodna organizacija vzpostavi kontakt z državnim organom (nacionalnim odločevalcem na področju mladine) ta pa poskrbi za sodelovanje med mednarodno organizacijo in specializiranim subjektom za izvajanje določenih nalog na mladinskem področju.</w:t>
            </w:r>
          </w:p>
        </w:tc>
      </w:tr>
      <w:tr w:rsidR="00CC1A0B" w:rsidRPr="00CC1A0B" w:rsidTr="00D0208E">
        <w:tc>
          <w:tcPr>
            <w:tcW w:w="4531" w:type="dxa"/>
          </w:tcPr>
          <w:p w:rsidR="00CC1A0B" w:rsidRPr="00CC1A0B" w:rsidRDefault="00CC1A0B" w:rsidP="00D0208E">
            <w:pPr>
              <w:jc w:val="both"/>
              <w:rPr>
                <w:rFonts w:ascii="Arial" w:hAnsi="Arial" w:cs="Arial"/>
                <w:sz w:val="20"/>
                <w:szCs w:val="20"/>
              </w:rPr>
            </w:pPr>
            <w:r w:rsidRPr="00CC1A0B">
              <w:rPr>
                <w:rFonts w:ascii="Arial" w:hAnsi="Arial" w:cs="Arial"/>
                <w:sz w:val="20"/>
                <w:szCs w:val="20"/>
              </w:rPr>
              <w:t>Člen še ni določen</w:t>
            </w:r>
          </w:p>
        </w:tc>
        <w:tc>
          <w:tcPr>
            <w:tcW w:w="4531" w:type="dxa"/>
          </w:tcPr>
          <w:p w:rsidR="00CC1A0B" w:rsidRPr="00CC1A0B" w:rsidRDefault="00CC1A0B" w:rsidP="00D0208E">
            <w:pPr>
              <w:autoSpaceDE w:val="0"/>
              <w:autoSpaceDN w:val="0"/>
              <w:adjustRightInd w:val="0"/>
              <w:spacing w:line="240" w:lineRule="atLeast"/>
              <w:jc w:val="both"/>
              <w:rPr>
                <w:rFonts w:ascii="Arial" w:hAnsi="Arial" w:cs="Arial"/>
                <w:sz w:val="20"/>
                <w:szCs w:val="20"/>
              </w:rPr>
            </w:pPr>
            <w:r w:rsidRPr="00CC1A0B">
              <w:rPr>
                <w:rFonts w:ascii="Arial" w:hAnsi="Arial" w:cs="Arial"/>
                <w:sz w:val="20"/>
                <w:szCs w:val="20"/>
                <w:lang w:val="x-none"/>
              </w:rPr>
              <w:t xml:space="preserve">Slovenija nima vzpostavljenega celovitega sistema spremljanja družbenega položaja mladih, pri čemer je vzpostavitev takega sistema spremljanja smiselna tudi zaradi potreb poročanja Evropski komisiji, ki </w:t>
            </w:r>
            <w:r w:rsidRPr="00CC1A0B">
              <w:rPr>
                <w:rFonts w:ascii="Arial" w:hAnsi="Arial" w:cs="Arial"/>
                <w:sz w:val="20"/>
                <w:szCs w:val="20"/>
              </w:rPr>
              <w:t>vedno</w:t>
            </w:r>
            <w:r w:rsidRPr="00CC1A0B">
              <w:rPr>
                <w:rFonts w:ascii="Arial" w:hAnsi="Arial" w:cs="Arial"/>
                <w:sz w:val="20"/>
                <w:szCs w:val="20"/>
                <w:lang w:val="x-none"/>
              </w:rPr>
              <w:t xml:space="preserve"> več pozornosti </w:t>
            </w:r>
            <w:r w:rsidRPr="00CC1A0B">
              <w:rPr>
                <w:rFonts w:ascii="Arial" w:hAnsi="Arial" w:cs="Arial"/>
                <w:sz w:val="20"/>
                <w:szCs w:val="20"/>
              </w:rPr>
              <w:t>namenja</w:t>
            </w:r>
            <w:r w:rsidRPr="00CC1A0B">
              <w:rPr>
                <w:rFonts w:ascii="Arial" w:hAnsi="Arial" w:cs="Arial"/>
                <w:sz w:val="20"/>
                <w:szCs w:val="20"/>
                <w:lang w:val="x-none"/>
              </w:rPr>
              <w:t xml:space="preserve"> kazalnikom mladine.</w:t>
            </w:r>
            <w:r w:rsidRPr="00CC1A0B">
              <w:rPr>
                <w:rFonts w:ascii="Arial" w:hAnsi="Arial" w:cs="Arial"/>
                <w:sz w:val="20"/>
                <w:szCs w:val="20"/>
              </w:rPr>
              <w:t xml:space="preserve"> Kot primer dobre prakse navajamo </w:t>
            </w:r>
            <w:r w:rsidRPr="00CC1A0B">
              <w:rPr>
                <w:rFonts w:ascii="Arial" w:hAnsi="Arial" w:cs="Arial"/>
                <w:sz w:val="20"/>
                <w:szCs w:val="20"/>
                <w:lang w:val="x-none"/>
              </w:rPr>
              <w:t xml:space="preserve">Otroško </w:t>
            </w:r>
            <w:r w:rsidRPr="00CC1A0B">
              <w:rPr>
                <w:rFonts w:ascii="Arial" w:hAnsi="Arial" w:cs="Arial"/>
                <w:sz w:val="20"/>
                <w:szCs w:val="20"/>
                <w:lang w:val="x-none"/>
              </w:rPr>
              <w:lastRenderedPageBreak/>
              <w:t>opazovalnic</w:t>
            </w:r>
            <w:r w:rsidRPr="00CC1A0B">
              <w:rPr>
                <w:rFonts w:ascii="Arial" w:hAnsi="Arial" w:cs="Arial"/>
                <w:sz w:val="20"/>
                <w:szCs w:val="20"/>
              </w:rPr>
              <w:t>o, organizirano v okviru Inštituta za socialno varstvo</w:t>
            </w:r>
            <w:r w:rsidRPr="00CC1A0B">
              <w:rPr>
                <w:rFonts w:ascii="Arial" w:hAnsi="Arial" w:cs="Arial"/>
                <w:sz w:val="20"/>
                <w:szCs w:val="20"/>
                <w:lang w:val="x-none"/>
              </w:rPr>
              <w:t>, ki spremlja položaj in kakovost življenja otrok v Sloveniji</w:t>
            </w:r>
            <w:r w:rsidRPr="00CC1A0B">
              <w:rPr>
                <w:rFonts w:ascii="Arial" w:hAnsi="Arial" w:cs="Arial"/>
                <w:sz w:val="20"/>
                <w:szCs w:val="20"/>
              </w:rPr>
              <w:t xml:space="preserve">. Smiselno bi bilo potrebno zasnovati Mladinsko opazovalnico, ki bi zagotovila kontinuirano in koordinirano zbiranje podatkov, kar je nujno potrebno za spremljanje stanja na področju mladinskega sektorja ter oblikovanje mladinske politike. Primarno bi se v okviru opazovalnice zasnovala baza podatkov, utemeljena na relevantnih kazalnikih, nadalje pa bi se v zvezi s potrebami mladih, aktualno nacionalno mladinsko politiko ter usmeritvami mednarodnih organizacij na mladinskem polju izvedle študije oziroma pripravila poročila, na podlagi katerih bi temeljile ocene sedanjega stanja na mladinskih področjih ter tudi nadaljnje razvojne strategije. </w:t>
            </w:r>
          </w:p>
        </w:tc>
      </w:tr>
    </w:tbl>
    <w:p w:rsidR="00CC1A0B" w:rsidRPr="00CC1A0B" w:rsidRDefault="00CC1A0B" w:rsidP="00CC1A0B">
      <w:pPr>
        <w:spacing w:after="0"/>
        <w:jc w:val="both"/>
        <w:rPr>
          <w:rFonts w:ascii="Arial" w:hAnsi="Arial" w:cs="Arial"/>
          <w:sz w:val="20"/>
          <w:szCs w:val="20"/>
        </w:rPr>
      </w:pPr>
    </w:p>
    <w:p w:rsidR="00CC1A0B" w:rsidRPr="00CC1A0B" w:rsidRDefault="00CC1A0B" w:rsidP="00CC1A0B">
      <w:pPr>
        <w:jc w:val="both"/>
        <w:rPr>
          <w:rFonts w:ascii="Arial" w:hAnsi="Arial" w:cs="Arial"/>
          <w:sz w:val="20"/>
          <w:szCs w:val="20"/>
        </w:rPr>
      </w:pPr>
    </w:p>
    <w:p w:rsidR="00CC1A0B" w:rsidRPr="00CC1A0B" w:rsidRDefault="00CC1A0B" w:rsidP="00CC1A0B">
      <w:pPr>
        <w:rPr>
          <w:rFonts w:ascii="Arial" w:hAnsi="Arial" w:cs="Arial"/>
          <w:sz w:val="20"/>
          <w:szCs w:val="20"/>
        </w:rPr>
      </w:pPr>
    </w:p>
    <w:sectPr w:rsidR="00CC1A0B" w:rsidRPr="00CC1A0B" w:rsidSect="00DA150C">
      <w:type w:val="continuous"/>
      <w:pgSz w:w="11906" w:h="16838"/>
      <w:pgMar w:top="1417" w:right="1417" w:bottom="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882"/>
    <w:multiLevelType w:val="hybridMultilevel"/>
    <w:tmpl w:val="03D0B8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B3F1BA9"/>
    <w:multiLevelType w:val="hybridMultilevel"/>
    <w:tmpl w:val="FB9C521E"/>
    <w:lvl w:ilvl="0" w:tplc="53B6E258">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nsid w:val="0B6E1A1D"/>
    <w:multiLevelType w:val="hybridMultilevel"/>
    <w:tmpl w:val="111A97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0803E6B"/>
    <w:multiLevelType w:val="hybridMultilevel"/>
    <w:tmpl w:val="A9C46C5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77AC5A31"/>
    <w:multiLevelType w:val="hybridMultilevel"/>
    <w:tmpl w:val="6C9868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15"/>
    <w:rsid w:val="000A5320"/>
    <w:rsid w:val="000F74E0"/>
    <w:rsid w:val="001631E6"/>
    <w:rsid w:val="001F74AF"/>
    <w:rsid w:val="00201FE4"/>
    <w:rsid w:val="0028185E"/>
    <w:rsid w:val="00281D47"/>
    <w:rsid w:val="002F0F2E"/>
    <w:rsid w:val="00377C1A"/>
    <w:rsid w:val="003A6269"/>
    <w:rsid w:val="00432F22"/>
    <w:rsid w:val="00476236"/>
    <w:rsid w:val="004C6394"/>
    <w:rsid w:val="004E63AA"/>
    <w:rsid w:val="00502E70"/>
    <w:rsid w:val="00570B5F"/>
    <w:rsid w:val="005F303B"/>
    <w:rsid w:val="00640BF8"/>
    <w:rsid w:val="00764499"/>
    <w:rsid w:val="007D26DD"/>
    <w:rsid w:val="0083400F"/>
    <w:rsid w:val="00864ACC"/>
    <w:rsid w:val="008E1A9D"/>
    <w:rsid w:val="009208EB"/>
    <w:rsid w:val="00953E1C"/>
    <w:rsid w:val="009960A6"/>
    <w:rsid w:val="00B22C87"/>
    <w:rsid w:val="00B42EC9"/>
    <w:rsid w:val="00BC0256"/>
    <w:rsid w:val="00BD6E72"/>
    <w:rsid w:val="00C93A30"/>
    <w:rsid w:val="00CA1615"/>
    <w:rsid w:val="00CC1A0B"/>
    <w:rsid w:val="00D009A5"/>
    <w:rsid w:val="00DA150C"/>
    <w:rsid w:val="00DA374A"/>
    <w:rsid w:val="00DE7888"/>
    <w:rsid w:val="00E60FF9"/>
    <w:rsid w:val="00E75CF5"/>
    <w:rsid w:val="00E925A5"/>
    <w:rsid w:val="00EB7F39"/>
    <w:rsid w:val="00EE6393"/>
    <w:rsid w:val="00EF0488"/>
    <w:rsid w:val="00FC4A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960A6"/>
    <w:pPr>
      <w:ind w:left="720"/>
      <w:contextualSpacing/>
    </w:pPr>
  </w:style>
  <w:style w:type="table" w:styleId="Tabelamrea">
    <w:name w:val="Table Grid"/>
    <w:basedOn w:val="Navadnatabela"/>
    <w:uiPriority w:val="39"/>
    <w:rsid w:val="0020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960A6"/>
    <w:pPr>
      <w:ind w:left="720"/>
      <w:contextualSpacing/>
    </w:pPr>
  </w:style>
  <w:style w:type="table" w:styleId="Tabelamrea">
    <w:name w:val="Table Grid"/>
    <w:basedOn w:val="Navadnatabela"/>
    <w:uiPriority w:val="39"/>
    <w:rsid w:val="0020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Plečnik</dc:creator>
  <cp:lastModifiedBy>Širca</cp:lastModifiedBy>
  <cp:revision>2</cp:revision>
  <dcterms:created xsi:type="dcterms:W3CDTF">2016-02-16T13:58:00Z</dcterms:created>
  <dcterms:modified xsi:type="dcterms:W3CDTF">2016-02-16T13:58:00Z</dcterms:modified>
</cp:coreProperties>
</file>