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6B" w:rsidRPr="001014B9" w:rsidRDefault="00FD116B" w:rsidP="003C4EC5">
      <w:pPr>
        <w:rPr>
          <w:rFonts w:ascii="Arial" w:hAnsi="Arial" w:cs="Arial"/>
          <w:b/>
          <w:sz w:val="20"/>
          <w:szCs w:val="20"/>
        </w:rPr>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6" type="#_x0000_t75" alt="MDDSZ_Direkt_za_socialne_zadeve" style="position:absolute;margin-left:0;margin-top:0;width:263.75pt;height:114.75pt;z-index:-251658240;visibility:visible;mso-position-horizontal:left;mso-position-horizontal-relative:page;mso-position-vertical:top;mso-position-vertical-relative:page">
            <v:imagedata r:id="rId5" o:title=""/>
            <w10:wrap anchorx="page" anchory="page"/>
          </v:shape>
        </w:pict>
      </w:r>
      <w:r>
        <w:rPr>
          <w:noProof/>
          <w:lang w:eastAsia="sl-SI"/>
        </w:rPr>
        <w:pict>
          <v:shape id="_x0000_s1027" type="#_x0000_t75" style="position:absolute;margin-left:313.8pt;margin-top:36.5pt;width:222.8pt;height:104.8pt;z-index:251657216;visibility:visible;mso-wrap-edited:f;mso-wrap-distance-bottom:32.6pt;mso-position-horizontal-relative:page;mso-position-vertical-relative:page" o:allowincell="f">
            <v:imagedata r:id="rId6" o:title=""/>
            <w10:wrap type="topAndBottom" anchorx="page" anchory="page"/>
            <w10:anchorlock/>
          </v:shape>
          <o:OLEObject Type="Embed" ProgID="Word.Picture.8" ShapeID="_x0000_s1027" DrawAspect="Content" ObjectID="_1431860511" r:id="rId7"/>
        </w:pict>
      </w:r>
    </w:p>
    <w:p w:rsidR="00FD116B" w:rsidRPr="001014B9" w:rsidRDefault="00FD116B" w:rsidP="003C4EC5">
      <w:pPr>
        <w:rPr>
          <w:rFonts w:ascii="Arial" w:hAnsi="Arial" w:cs="Arial"/>
          <w:b/>
          <w:sz w:val="20"/>
          <w:szCs w:val="20"/>
        </w:rPr>
      </w:pPr>
      <w:r w:rsidRPr="001014B9">
        <w:rPr>
          <w:rFonts w:ascii="Arial" w:hAnsi="Arial" w:cs="Arial"/>
          <w:b/>
          <w:sz w:val="20"/>
          <w:szCs w:val="20"/>
        </w:rPr>
        <w:t xml:space="preserve">PROGRAM REGIJSKIH POSVETOV ZA PRIPRAVO REGIONALNIH IZVEDBENIH NAČRTOV NA PODROČJU SOCIALNEGA VARSTVA </w:t>
      </w:r>
    </w:p>
    <w:p w:rsidR="00FD116B" w:rsidRPr="001014B9" w:rsidRDefault="00FD116B" w:rsidP="003C4EC5">
      <w:pPr>
        <w:rPr>
          <w:rFonts w:ascii="Arial" w:hAnsi="Arial" w:cs="Arial"/>
          <w:b/>
          <w:sz w:val="20"/>
          <w:szCs w:val="20"/>
        </w:rPr>
      </w:pPr>
    </w:p>
    <w:p w:rsidR="00FD116B" w:rsidRPr="001014B9" w:rsidRDefault="00FD116B" w:rsidP="003C4EC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425"/>
        <w:gridCol w:w="6521"/>
      </w:tblGrid>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 xml:space="preserve">9.00 – 9.10 </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 xml:space="preserve">Predstavnik MDDSZ: pozdravni nagovor. </w:t>
            </w: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9.10 – 9.30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Predstavnik MDDSZ, Direktorata za socialne zadeve:</w:t>
            </w:r>
          </w:p>
          <w:p w:rsidR="00FD116B" w:rsidRPr="00B67DF0" w:rsidRDefault="00FD116B" w:rsidP="00B67DF0">
            <w:pPr>
              <w:pStyle w:val="ListParagraph"/>
              <w:numPr>
                <w:ilvl w:val="0"/>
                <w:numId w:val="1"/>
              </w:numPr>
              <w:spacing w:after="0" w:line="240" w:lineRule="auto"/>
              <w:rPr>
                <w:rFonts w:ascii="Arial" w:hAnsi="Arial" w:cs="Arial"/>
                <w:sz w:val="20"/>
                <w:szCs w:val="20"/>
              </w:rPr>
            </w:pPr>
            <w:r w:rsidRPr="00B67DF0">
              <w:rPr>
                <w:rFonts w:ascii="Arial" w:hAnsi="Arial" w:cs="Arial"/>
                <w:sz w:val="20"/>
                <w:szCs w:val="20"/>
              </w:rPr>
              <w:t>Predstavitev Resolucije o nacionalnem programu socialnega varstva za obdobje 2013–2020.</w:t>
            </w:r>
          </w:p>
          <w:p w:rsidR="00FD116B" w:rsidRPr="00B67DF0" w:rsidRDefault="00FD116B" w:rsidP="00B67DF0">
            <w:pPr>
              <w:pStyle w:val="ListParagraph"/>
              <w:numPr>
                <w:ilvl w:val="0"/>
                <w:numId w:val="1"/>
              </w:numPr>
              <w:spacing w:after="0" w:line="240" w:lineRule="auto"/>
              <w:rPr>
                <w:rFonts w:ascii="Arial" w:hAnsi="Arial" w:cs="Arial"/>
                <w:sz w:val="20"/>
                <w:szCs w:val="20"/>
              </w:rPr>
            </w:pPr>
            <w:r w:rsidRPr="00B67DF0">
              <w:rPr>
                <w:rFonts w:ascii="Arial" w:hAnsi="Arial" w:cs="Arial"/>
                <w:sz w:val="20"/>
                <w:szCs w:val="20"/>
              </w:rPr>
              <w:t>Možnosti črpanja finančnih sredstev EU v novi finančni perspektivi (2014 – 2020).</w:t>
            </w:r>
          </w:p>
          <w:p w:rsidR="00FD116B" w:rsidRPr="00B67DF0" w:rsidRDefault="00FD116B" w:rsidP="00B67DF0">
            <w:pPr>
              <w:spacing w:after="0" w:line="240" w:lineRule="auto"/>
              <w:rPr>
                <w:rFonts w:ascii="Arial" w:hAnsi="Arial" w:cs="Arial"/>
                <w:sz w:val="20"/>
                <w:szCs w:val="20"/>
              </w:rPr>
            </w:pP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9.30 - 9.50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Predstavnik Inštituta RS za socialno varstvo:</w:t>
            </w:r>
          </w:p>
          <w:p w:rsidR="00FD116B" w:rsidRPr="00B67DF0" w:rsidRDefault="00FD116B" w:rsidP="00B67DF0">
            <w:pPr>
              <w:pStyle w:val="ListParagraph"/>
              <w:numPr>
                <w:ilvl w:val="0"/>
                <w:numId w:val="2"/>
              </w:numPr>
              <w:spacing w:after="0" w:line="240" w:lineRule="auto"/>
              <w:rPr>
                <w:rFonts w:ascii="Arial" w:hAnsi="Arial" w:cs="Arial"/>
                <w:sz w:val="20"/>
                <w:szCs w:val="20"/>
              </w:rPr>
            </w:pPr>
            <w:r w:rsidRPr="00B67DF0">
              <w:rPr>
                <w:rFonts w:ascii="Arial" w:hAnsi="Arial" w:cs="Arial"/>
                <w:sz w:val="20"/>
                <w:szCs w:val="20"/>
              </w:rPr>
              <w:t>Predstavitev strukture, vsebine in postopkov v zvezi z izvedbenimi načrti na področju socialnega varstva.</w:t>
            </w:r>
          </w:p>
          <w:p w:rsidR="00FD116B" w:rsidRPr="00B67DF0" w:rsidRDefault="00FD116B" w:rsidP="00B67DF0">
            <w:pPr>
              <w:pStyle w:val="ListParagraph"/>
              <w:numPr>
                <w:ilvl w:val="0"/>
                <w:numId w:val="2"/>
              </w:numPr>
              <w:spacing w:after="0" w:line="240" w:lineRule="auto"/>
              <w:rPr>
                <w:rFonts w:ascii="Arial" w:hAnsi="Arial" w:cs="Arial"/>
                <w:sz w:val="20"/>
                <w:szCs w:val="20"/>
              </w:rPr>
            </w:pPr>
            <w:r w:rsidRPr="00B67DF0">
              <w:rPr>
                <w:rFonts w:ascii="Arial" w:hAnsi="Arial" w:cs="Arial"/>
                <w:sz w:val="20"/>
                <w:szCs w:val="20"/>
              </w:rPr>
              <w:t>Regionalna slika izvajanja pomoči na domu skozi perspektivo preteklega nacionalnega programa socialnega varstva.</w:t>
            </w: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9.50 – 10.10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Predstavnik regijske koordinacije centrov za socialno delo I.:</w:t>
            </w:r>
          </w:p>
          <w:p w:rsidR="00FD116B" w:rsidRPr="00B67DF0" w:rsidRDefault="00FD116B" w:rsidP="00B67DF0">
            <w:pPr>
              <w:pStyle w:val="ListParagraph"/>
              <w:numPr>
                <w:ilvl w:val="0"/>
                <w:numId w:val="3"/>
              </w:numPr>
              <w:spacing w:after="0" w:line="240" w:lineRule="auto"/>
              <w:rPr>
                <w:rFonts w:ascii="Arial" w:hAnsi="Arial" w:cs="Arial"/>
                <w:sz w:val="20"/>
                <w:szCs w:val="20"/>
              </w:rPr>
            </w:pPr>
            <w:r w:rsidRPr="00B67DF0">
              <w:rPr>
                <w:rFonts w:ascii="Arial" w:hAnsi="Arial" w:cs="Arial"/>
                <w:sz w:val="20"/>
                <w:szCs w:val="20"/>
              </w:rPr>
              <w:t>Kratek oris trenutnih socialnih razmer v regiji s predstavitvijo delujoče mreže socialnovarstvenih storitev in programov.</w:t>
            </w:r>
          </w:p>
          <w:p w:rsidR="00FD116B" w:rsidRPr="00B67DF0" w:rsidRDefault="00FD116B" w:rsidP="00B67DF0">
            <w:pPr>
              <w:pStyle w:val="ListParagraph"/>
              <w:numPr>
                <w:ilvl w:val="0"/>
                <w:numId w:val="3"/>
              </w:numPr>
              <w:spacing w:after="0" w:line="240" w:lineRule="auto"/>
              <w:rPr>
                <w:rFonts w:ascii="Arial" w:hAnsi="Arial" w:cs="Arial"/>
                <w:sz w:val="20"/>
                <w:szCs w:val="20"/>
              </w:rPr>
            </w:pPr>
            <w:r w:rsidRPr="00B67DF0">
              <w:rPr>
                <w:rFonts w:ascii="Arial" w:hAnsi="Arial" w:cs="Arial"/>
                <w:sz w:val="20"/>
                <w:szCs w:val="20"/>
              </w:rPr>
              <w:t>Potrebe na področju socialnega varstva v regiji.</w:t>
            </w: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10.10 – 10.30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Predstavnik regijske koordinacije centrov za socialno delo II.:</w:t>
            </w:r>
          </w:p>
          <w:p w:rsidR="00FD116B" w:rsidRPr="00B67DF0" w:rsidRDefault="00FD116B" w:rsidP="00B67DF0">
            <w:pPr>
              <w:pStyle w:val="ListParagraph"/>
              <w:numPr>
                <w:ilvl w:val="0"/>
                <w:numId w:val="3"/>
              </w:numPr>
              <w:spacing w:after="0" w:line="240" w:lineRule="auto"/>
              <w:rPr>
                <w:rFonts w:ascii="Arial" w:hAnsi="Arial" w:cs="Arial"/>
                <w:sz w:val="20"/>
                <w:szCs w:val="20"/>
              </w:rPr>
            </w:pPr>
            <w:r w:rsidRPr="00B67DF0">
              <w:rPr>
                <w:rFonts w:ascii="Arial" w:hAnsi="Arial" w:cs="Arial"/>
                <w:sz w:val="20"/>
                <w:szCs w:val="20"/>
              </w:rPr>
              <w:t>Kratek oris trenutnih socialnih razmer v regiji s predstavitvijo delujoče mreže socialnovarstvenih storitev in programov.</w:t>
            </w:r>
          </w:p>
          <w:p w:rsidR="00FD116B" w:rsidRPr="00B67DF0" w:rsidRDefault="00FD116B" w:rsidP="00B67DF0">
            <w:pPr>
              <w:pStyle w:val="ListParagraph"/>
              <w:numPr>
                <w:ilvl w:val="0"/>
                <w:numId w:val="3"/>
              </w:numPr>
              <w:spacing w:after="0" w:line="240" w:lineRule="auto"/>
              <w:rPr>
                <w:rFonts w:ascii="Arial" w:hAnsi="Arial" w:cs="Arial"/>
                <w:sz w:val="20"/>
                <w:szCs w:val="20"/>
              </w:rPr>
            </w:pPr>
            <w:r w:rsidRPr="00B67DF0">
              <w:rPr>
                <w:rFonts w:ascii="Arial" w:hAnsi="Arial" w:cs="Arial"/>
                <w:sz w:val="20"/>
                <w:szCs w:val="20"/>
              </w:rPr>
              <w:t>Potrebe na področju socialnega varstva v regiji.</w:t>
            </w: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10.30 – 11.00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Odmor</w:t>
            </w:r>
          </w:p>
        </w:tc>
      </w:tr>
      <w:tr w:rsidR="00FD116B" w:rsidRPr="00B67DF0" w:rsidTr="00B67DF0">
        <w:tc>
          <w:tcPr>
            <w:tcW w:w="1526"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11.00 – 12.30</w:t>
            </w:r>
          </w:p>
        </w:tc>
        <w:tc>
          <w:tcPr>
            <w:tcW w:w="425" w:type="dxa"/>
          </w:tcPr>
          <w:p w:rsidR="00FD116B" w:rsidRPr="00B67DF0" w:rsidRDefault="00FD116B" w:rsidP="00B67DF0">
            <w:pPr>
              <w:spacing w:after="0" w:line="240" w:lineRule="auto"/>
              <w:rPr>
                <w:rFonts w:ascii="Arial" w:hAnsi="Arial" w:cs="Arial"/>
                <w:sz w:val="20"/>
                <w:szCs w:val="20"/>
              </w:rPr>
            </w:pPr>
          </w:p>
        </w:tc>
        <w:tc>
          <w:tcPr>
            <w:tcW w:w="6521" w:type="dxa"/>
          </w:tcPr>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Razprava:</w:t>
            </w:r>
          </w:p>
          <w:p w:rsidR="00FD116B" w:rsidRPr="00B67DF0" w:rsidRDefault="00FD116B" w:rsidP="00B67DF0">
            <w:pPr>
              <w:spacing w:after="0" w:line="240" w:lineRule="auto"/>
              <w:rPr>
                <w:rFonts w:ascii="Arial" w:hAnsi="Arial" w:cs="Arial"/>
                <w:sz w:val="20"/>
                <w:szCs w:val="20"/>
              </w:rPr>
            </w:pPr>
            <w:r w:rsidRPr="00B67DF0">
              <w:rPr>
                <w:rFonts w:ascii="Arial" w:hAnsi="Arial" w:cs="Arial"/>
                <w:sz w:val="20"/>
                <w:szCs w:val="20"/>
              </w:rPr>
              <w:t>Razprava se bo osredotočila na vlogo občin, nevladnih organizacij in drugih izvajalcev storitev in programov na področju socialnega varstva pri pripravi regijskih izvedbenih načrtov (ocena trenutnega stanja in potreb ter prioritet in možnosti financiranja).</w:t>
            </w:r>
          </w:p>
        </w:tc>
      </w:tr>
    </w:tbl>
    <w:p w:rsidR="00FD116B" w:rsidRPr="001014B9" w:rsidRDefault="00FD116B" w:rsidP="003C4EC5">
      <w:pPr>
        <w:pStyle w:val="ListParagraph"/>
        <w:rPr>
          <w:rFonts w:ascii="Arial" w:hAnsi="Arial" w:cs="Arial"/>
          <w:color w:val="FF0000"/>
          <w:sz w:val="20"/>
          <w:szCs w:val="20"/>
        </w:rPr>
      </w:pPr>
      <w:r w:rsidRPr="001014B9">
        <w:rPr>
          <w:rFonts w:ascii="Arial" w:hAnsi="Arial" w:cs="Arial"/>
          <w:color w:val="FF0000"/>
          <w:sz w:val="20"/>
          <w:szCs w:val="20"/>
        </w:rPr>
        <w:t xml:space="preserve"> </w:t>
      </w:r>
    </w:p>
    <w:p w:rsidR="00FD116B" w:rsidRPr="001014B9" w:rsidRDefault="00FD116B">
      <w:pPr>
        <w:rPr>
          <w:rFonts w:ascii="Arial" w:hAnsi="Arial" w:cs="Arial"/>
          <w:sz w:val="20"/>
          <w:szCs w:val="20"/>
        </w:rPr>
      </w:pPr>
    </w:p>
    <w:sectPr w:rsidR="00FD116B" w:rsidRPr="001014B9" w:rsidSect="00157A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20081"/>
    <w:multiLevelType w:val="hybridMultilevel"/>
    <w:tmpl w:val="0230309C"/>
    <w:lvl w:ilvl="0" w:tplc="27401F4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B091614"/>
    <w:multiLevelType w:val="hybridMultilevel"/>
    <w:tmpl w:val="455404F8"/>
    <w:lvl w:ilvl="0" w:tplc="27401F4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3B819FB"/>
    <w:multiLevelType w:val="hybridMultilevel"/>
    <w:tmpl w:val="CC103656"/>
    <w:lvl w:ilvl="0" w:tplc="27401F4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EC5"/>
    <w:rsid w:val="001014B9"/>
    <w:rsid w:val="00153843"/>
    <w:rsid w:val="00157A8E"/>
    <w:rsid w:val="0017106C"/>
    <w:rsid w:val="00241AE9"/>
    <w:rsid w:val="00290F9E"/>
    <w:rsid w:val="003C4EC5"/>
    <w:rsid w:val="0043099B"/>
    <w:rsid w:val="00582ED4"/>
    <w:rsid w:val="005D5736"/>
    <w:rsid w:val="005F6330"/>
    <w:rsid w:val="006115A9"/>
    <w:rsid w:val="00635FD3"/>
    <w:rsid w:val="00780332"/>
    <w:rsid w:val="007D44A8"/>
    <w:rsid w:val="00B67DF0"/>
    <w:rsid w:val="00D65339"/>
    <w:rsid w:val="00EB4D67"/>
    <w:rsid w:val="00EE351D"/>
    <w:rsid w:val="00F82EEB"/>
    <w:rsid w:val="00FB0323"/>
    <w:rsid w:val="00FD116B"/>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EC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C4E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C4EC5"/>
    <w:pPr>
      <w:ind w:left="720"/>
      <w:contextualSpacing/>
    </w:pPr>
  </w:style>
  <w:style w:type="character" w:styleId="CommentReference">
    <w:name w:val="annotation reference"/>
    <w:basedOn w:val="DefaultParagraphFont"/>
    <w:uiPriority w:val="99"/>
    <w:semiHidden/>
    <w:rsid w:val="003C4EC5"/>
    <w:rPr>
      <w:rFonts w:cs="Times New Roman"/>
      <w:sz w:val="16"/>
      <w:szCs w:val="16"/>
    </w:rPr>
  </w:style>
  <w:style w:type="paragraph" w:styleId="CommentText">
    <w:name w:val="annotation text"/>
    <w:basedOn w:val="Normal"/>
    <w:link w:val="CommentTextChar"/>
    <w:uiPriority w:val="99"/>
    <w:semiHidden/>
    <w:rsid w:val="003C4EC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4EC5"/>
    <w:rPr>
      <w:rFonts w:cs="Times New Roman"/>
      <w:sz w:val="20"/>
      <w:szCs w:val="20"/>
    </w:rPr>
  </w:style>
  <w:style w:type="paragraph" w:styleId="BalloonText">
    <w:name w:val="Balloon Text"/>
    <w:basedOn w:val="Normal"/>
    <w:link w:val="BalloonTextChar"/>
    <w:uiPriority w:val="99"/>
    <w:semiHidden/>
    <w:rsid w:val="003C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4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221</Words>
  <Characters>1264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SimonaS</dc:creator>
  <cp:keywords/>
  <dc:description/>
  <cp:lastModifiedBy>mcp</cp:lastModifiedBy>
  <cp:revision>2</cp:revision>
  <cp:lastPrinted>2013-06-03T11:20:00Z</cp:lastPrinted>
  <dcterms:created xsi:type="dcterms:W3CDTF">2013-06-04T12:15:00Z</dcterms:created>
  <dcterms:modified xsi:type="dcterms:W3CDTF">2013-06-04T12:15:00Z</dcterms:modified>
</cp:coreProperties>
</file>