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92D" w:rsidRDefault="00B0692D" w:rsidP="00B0692D">
      <w:pPr>
        <w:pStyle w:val="Naslov"/>
      </w:pPr>
    </w:p>
    <w:p w:rsidR="00B0692D" w:rsidRDefault="00B0692D" w:rsidP="00B0692D">
      <w:pPr>
        <w:pStyle w:val="Naslov"/>
      </w:pPr>
    </w:p>
    <w:p w:rsidR="00B0692D" w:rsidRDefault="00B0692D" w:rsidP="00B0692D">
      <w:pPr>
        <w:pStyle w:val="Naslov"/>
      </w:pPr>
    </w:p>
    <w:p w:rsidR="00B0692D" w:rsidRDefault="00B0692D" w:rsidP="00B0692D">
      <w:pPr>
        <w:pStyle w:val="Naslov"/>
      </w:pPr>
    </w:p>
    <w:p w:rsidR="00B0692D" w:rsidRDefault="00B0692D" w:rsidP="00B0692D">
      <w:pPr>
        <w:pStyle w:val="Naslov"/>
      </w:pPr>
    </w:p>
    <w:p w:rsidR="00B0692D" w:rsidRDefault="00B0692D" w:rsidP="00B0692D">
      <w:pPr>
        <w:pStyle w:val="Naslov"/>
      </w:pPr>
    </w:p>
    <w:p w:rsidR="00B0692D" w:rsidRPr="00B0692D" w:rsidRDefault="00B0692D" w:rsidP="00037455">
      <w:pPr>
        <w:pStyle w:val="Naslov"/>
        <w:jc w:val="center"/>
      </w:pPr>
      <w:r>
        <w:t>Hiter pregled stanja NVO</w:t>
      </w:r>
      <w:r w:rsidR="00606D16">
        <w:t xml:space="preserve"> v Primorsko Notranjski regiji na finančnem in zaposlitvenem področju</w:t>
      </w:r>
    </w:p>
    <w:p w:rsidR="00B0692D" w:rsidRDefault="00B0692D" w:rsidP="00B0692D">
      <w:pPr>
        <w:pStyle w:val="Naslov1"/>
        <w:jc w:val="center"/>
        <w:rPr>
          <w:sz w:val="40"/>
          <w:szCs w:val="40"/>
        </w:rPr>
      </w:pPr>
    </w:p>
    <w:p w:rsidR="00B0692D" w:rsidRDefault="00B0692D" w:rsidP="00B0692D"/>
    <w:p w:rsidR="00B0692D" w:rsidRDefault="00B0692D" w:rsidP="00B0692D"/>
    <w:p w:rsidR="00B0692D" w:rsidRDefault="00B0692D" w:rsidP="00B0692D"/>
    <w:p w:rsidR="00B0692D" w:rsidRDefault="00B0692D" w:rsidP="00B0692D"/>
    <w:p w:rsidR="00B0692D" w:rsidRDefault="00B0692D" w:rsidP="00B0692D"/>
    <w:p w:rsidR="00B0692D" w:rsidRDefault="00B0692D" w:rsidP="00B0692D"/>
    <w:p w:rsidR="00B0692D" w:rsidRDefault="00B0692D" w:rsidP="00B0692D"/>
    <w:p w:rsidR="00B0692D" w:rsidRPr="00562132" w:rsidRDefault="00B0692D" w:rsidP="00B0692D"/>
    <w:p w:rsidR="00B0692D" w:rsidRPr="00037455" w:rsidRDefault="00B0692D" w:rsidP="00037455">
      <w:pPr>
        <w:pStyle w:val="Intenzivencitat"/>
        <w:rPr>
          <w:sz w:val="32"/>
          <w:szCs w:val="32"/>
        </w:rPr>
      </w:pPr>
      <w:r w:rsidRPr="00037455">
        <w:rPr>
          <w:sz w:val="32"/>
          <w:szCs w:val="32"/>
        </w:rPr>
        <w:t xml:space="preserve">Samo Vesel in sodelavci BOREO regionalnega stičišča NVO PNR </w:t>
      </w:r>
      <w:bookmarkStart w:id="0" w:name="_GoBack"/>
      <w:bookmarkEnd w:id="0"/>
    </w:p>
    <w:p w:rsidR="00B0692D" w:rsidRPr="00037455" w:rsidRDefault="00B0692D" w:rsidP="00B0692D">
      <w:pPr>
        <w:pStyle w:val="Intenzivencitat"/>
        <w:rPr>
          <w:sz w:val="32"/>
          <w:szCs w:val="32"/>
        </w:rPr>
      </w:pPr>
      <w:r w:rsidRPr="00037455">
        <w:rPr>
          <w:sz w:val="32"/>
          <w:szCs w:val="32"/>
        </w:rPr>
        <w:t>September 2016</w:t>
      </w:r>
    </w:p>
    <w:p w:rsidR="00B0692D" w:rsidRDefault="00B0692D" w:rsidP="00B0692D">
      <w:pPr>
        <w:pStyle w:val="Podnaslov"/>
      </w:pPr>
    </w:p>
    <w:p w:rsidR="00B0692D" w:rsidRDefault="00B0692D">
      <w:pPr>
        <w:rPr>
          <w:rFonts w:asciiTheme="majorHAnsi" w:eastAsiaTheme="majorEastAsia" w:hAnsiTheme="majorHAnsi" w:cstheme="majorBidi"/>
          <w:b/>
          <w:bCs/>
          <w:color w:val="365F91" w:themeColor="accent1" w:themeShade="BF"/>
          <w:sz w:val="28"/>
          <w:szCs w:val="28"/>
        </w:rPr>
      </w:pPr>
    </w:p>
    <w:p w:rsidR="00B935C5" w:rsidRDefault="00B935C5" w:rsidP="00B935C5">
      <w:pPr>
        <w:pStyle w:val="Naslov1"/>
      </w:pPr>
      <w:r>
        <w:t>Pregled stanja NVO v regiji</w:t>
      </w:r>
    </w:p>
    <w:p w:rsidR="00B935C5" w:rsidRPr="00B935C5" w:rsidRDefault="00B935C5" w:rsidP="00B935C5"/>
    <w:p w:rsidR="006F387D" w:rsidRDefault="00CA353C">
      <w:r>
        <w:t>V regiji je v letu 2015 delovalo 608 aktivnih nevladnih organizacij, od tega  555 društev in 51 zasebnih zavodov in 2 ustanovi.</w:t>
      </w:r>
    </w:p>
    <w:p w:rsidR="00CA353C" w:rsidRDefault="00CA353C">
      <w:r>
        <w:t>Organizacije so zaposlovale skupno 103,5 zaposlenih, od tega je bilo v društvih 48 zaposlitev, v zavodih in ustanovah pa  55,5 zaposlitev.</w:t>
      </w:r>
    </w:p>
    <w:p w:rsidR="00CA353C" w:rsidRDefault="00CA353C">
      <w:r>
        <w:t>Delež zaposlitev je tako bistveno večji v zavodih, kjer  v povpečju zaposlujejo nekaj več kot enega zaposlenega na organizacijo, v društvih pa je zaposlenih 0,09 na organizacijo.</w:t>
      </w:r>
    </w:p>
    <w:p w:rsidR="00A02653" w:rsidRDefault="00A02653" w:rsidP="00A02653">
      <w:pPr>
        <w:jc w:val="center"/>
      </w:pPr>
      <w:r w:rsidRPr="00A02653">
        <w:rPr>
          <w:noProof/>
          <w:lang w:eastAsia="sl-SI"/>
        </w:rPr>
        <w:drawing>
          <wp:inline distT="0" distB="0" distL="0" distR="0">
            <wp:extent cx="4572000" cy="2743200"/>
            <wp:effectExtent l="19050" t="0" r="1905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02653" w:rsidRDefault="00CA4EBF" w:rsidP="00A02653">
      <w:pPr>
        <w:jc w:val="center"/>
      </w:pPr>
      <w:r>
        <w:t>Slika</w:t>
      </w:r>
      <w:r w:rsidR="00A02653">
        <w:t xml:space="preserve"> 1: Zaposlitve v NVO po občinah</w:t>
      </w:r>
    </w:p>
    <w:p w:rsidR="00A02653" w:rsidRDefault="00A02653">
      <w:r>
        <w:t>Po zaposlitvah v NVO sektorju daleč vodijo NVO v občini Postojna, predvsem zaradi organizacij, ki izvajajo javne</w:t>
      </w:r>
      <w:r w:rsidR="000D0698">
        <w:t xml:space="preserve"> službe in (gasilstvo, skrb za ostarele...). </w:t>
      </w:r>
    </w:p>
    <w:p w:rsidR="00CA353C" w:rsidRDefault="00CA353C">
      <w:r>
        <w:t>Na finančnem področju lahko ugotovimo, da zavodi in ustanove razpolagajo z bistveno višjimi prihodki (47.338€) na organizacijo, v društvih pa je višina prihodkov 15.148€ na društvo.</w:t>
      </w:r>
    </w:p>
    <w:p w:rsidR="00E623E6" w:rsidRDefault="00E623E6">
      <w:r>
        <w:t>V celoti NVO izkazujejo neto presežke prihodkov nad odhodki v skupni višini 343.816€ na nivoju regije.</w:t>
      </w:r>
      <w:r w:rsidR="000D0698">
        <w:t xml:space="preserve"> V regiji izstopajo NVO v občinah Cerknica in Loška dolina, v Cerknici na račun dv</w:t>
      </w:r>
      <w:r w:rsidR="00B935C5">
        <w:t>eh gasilskih društe</w:t>
      </w:r>
      <w:r w:rsidR="000D0698">
        <w:t xml:space="preserve">v, </w:t>
      </w:r>
      <w:r w:rsidR="00B935C5">
        <w:t xml:space="preserve"> v Loški dolini pa na račun enega zasebnega zavoda.</w:t>
      </w:r>
    </w:p>
    <w:p w:rsidR="000D0698" w:rsidRDefault="000D0698" w:rsidP="000D0698">
      <w:pPr>
        <w:jc w:val="center"/>
      </w:pPr>
      <w:r w:rsidRPr="000D0698">
        <w:rPr>
          <w:noProof/>
          <w:lang w:eastAsia="sl-SI"/>
        </w:rPr>
        <w:lastRenderedPageBreak/>
        <w:drawing>
          <wp:inline distT="0" distB="0" distL="0" distR="0">
            <wp:extent cx="4572000" cy="2743200"/>
            <wp:effectExtent l="19050" t="0" r="1905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D0698" w:rsidRDefault="00CA4EBF" w:rsidP="000D0698">
      <w:pPr>
        <w:jc w:val="center"/>
      </w:pPr>
      <w:r>
        <w:t>Slika</w:t>
      </w:r>
      <w:r w:rsidR="000D0698">
        <w:t xml:space="preserve"> 2: Neto presežki prihodkov n</w:t>
      </w:r>
      <w:r w:rsidR="00B0692D">
        <w:t>a</w:t>
      </w:r>
      <w:r w:rsidR="000D0698">
        <w:t>d odhodki na organizacijo v €</w:t>
      </w:r>
    </w:p>
    <w:p w:rsidR="00E623E6" w:rsidRDefault="00E623E6">
      <w:r>
        <w:t>Pri pregledu prihodkov na prebivalca, pa tudi na organizacijo, lahko ugotovimo, da izstopajo NVO v občinah Cerknica (306€ / prebivalca, 22.510€ / organizacijo) in Postojna (239€/prebivalca, 21.972€/organizacijo). Najmanjši so prihodki v občinah Pivka (123€ / prebivalca, 10.952/organizacijo) in Bloke (136€/prebivalca, 8.591€/organizacijo).</w:t>
      </w:r>
    </w:p>
    <w:p w:rsidR="00E623E6" w:rsidRDefault="004F6B4A" w:rsidP="004F6B4A">
      <w:pPr>
        <w:jc w:val="center"/>
      </w:pPr>
      <w:r w:rsidRPr="004F6B4A">
        <w:rPr>
          <w:noProof/>
          <w:lang w:eastAsia="sl-SI"/>
        </w:rPr>
        <w:drawing>
          <wp:inline distT="0" distB="0" distL="0" distR="0">
            <wp:extent cx="4572000" cy="2743200"/>
            <wp:effectExtent l="19050" t="0" r="1905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6B4A" w:rsidRDefault="00CA4EBF" w:rsidP="004F6B4A">
      <w:pPr>
        <w:jc w:val="center"/>
      </w:pPr>
      <w:r>
        <w:t>Slika</w:t>
      </w:r>
      <w:r w:rsidR="00A02653">
        <w:t xml:space="preserve"> </w:t>
      </w:r>
      <w:r w:rsidR="0023141B">
        <w:t>3</w:t>
      </w:r>
      <w:r w:rsidR="004F6B4A">
        <w:t>: Prihodki NVO / prebivalca v €</w:t>
      </w:r>
    </w:p>
    <w:p w:rsidR="00E623E6" w:rsidRDefault="004F6B4A" w:rsidP="004F6B4A">
      <w:pPr>
        <w:jc w:val="center"/>
      </w:pPr>
      <w:r w:rsidRPr="004F6B4A">
        <w:rPr>
          <w:noProof/>
          <w:lang w:eastAsia="sl-SI"/>
        </w:rPr>
        <w:lastRenderedPageBreak/>
        <w:drawing>
          <wp:inline distT="0" distB="0" distL="0" distR="0">
            <wp:extent cx="4572000" cy="2743200"/>
            <wp:effectExtent l="19050" t="0" r="1905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6B4A" w:rsidRDefault="00CA4EBF" w:rsidP="004F6B4A">
      <w:pPr>
        <w:jc w:val="center"/>
      </w:pPr>
      <w:r>
        <w:t>Slika</w:t>
      </w:r>
      <w:r w:rsidR="0023141B">
        <w:t xml:space="preserve"> 4</w:t>
      </w:r>
      <w:r w:rsidR="004F6B4A">
        <w:t>: Prihodki NVO / organizacijo v €</w:t>
      </w:r>
    </w:p>
    <w:p w:rsidR="00D01999" w:rsidRDefault="00D01999" w:rsidP="00D01999">
      <w:pPr>
        <w:pStyle w:val="Naslov2"/>
      </w:pPr>
    </w:p>
    <w:p w:rsidR="00D01999" w:rsidRDefault="00D01999" w:rsidP="00D01999">
      <w:pPr>
        <w:pStyle w:val="Naslov2"/>
      </w:pPr>
      <w:r>
        <w:t>Pregled po področjih - samo društva</w:t>
      </w:r>
    </w:p>
    <w:p w:rsidR="00D01999" w:rsidRDefault="00D01999" w:rsidP="00D01999">
      <w:r>
        <w:t>Če društva razvrstimo po skupinah, kot jih vodi AJPES, ugotovimo, da športna društva predstavljajo največjo skupino društev, sledijo kulturna društva, društva za pomoč ljudem, in društva za gojitev, vzrejo ter varstvo živali, najmanj pa so v re</w:t>
      </w:r>
      <w:r w:rsidR="00F83871">
        <w:t>giji zastopana društva med</w:t>
      </w:r>
      <w:r>
        <w:t xml:space="preserve"> </w:t>
      </w:r>
      <w:r w:rsidR="00F83871">
        <w:t>nacionalna in politična društva, društva za duhovno življenje in stanovska društva.</w:t>
      </w:r>
    </w:p>
    <w:p w:rsidR="00F83871" w:rsidRDefault="00F83871" w:rsidP="00F83871">
      <w:pPr>
        <w:jc w:val="center"/>
      </w:pPr>
      <w:r w:rsidRPr="00F83871">
        <w:rPr>
          <w:noProof/>
          <w:lang w:eastAsia="sl-SI"/>
        </w:rPr>
        <w:drawing>
          <wp:inline distT="0" distB="0" distL="0" distR="0">
            <wp:extent cx="4714875" cy="2977980"/>
            <wp:effectExtent l="19050" t="0" r="9525"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83871" w:rsidRDefault="00CA4EBF" w:rsidP="00F83871">
      <w:pPr>
        <w:jc w:val="center"/>
      </w:pPr>
      <w:r>
        <w:t>Slika</w:t>
      </w:r>
      <w:r w:rsidR="00F83871">
        <w:t xml:space="preserve"> </w:t>
      </w:r>
      <w:r w:rsidR="0023141B">
        <w:t>5</w:t>
      </w:r>
      <w:r w:rsidR="00F83871">
        <w:t>: Deleži društev po področjih</w:t>
      </w:r>
    </w:p>
    <w:p w:rsidR="00F83871" w:rsidRDefault="00F83871" w:rsidP="00F83871">
      <w:pPr>
        <w:jc w:val="center"/>
      </w:pPr>
      <w:r w:rsidRPr="00F83871">
        <w:rPr>
          <w:noProof/>
          <w:lang w:eastAsia="sl-SI"/>
        </w:rPr>
        <w:drawing>
          <wp:inline distT="0" distB="0" distL="0" distR="0">
            <wp:extent cx="5353050" cy="3171825"/>
            <wp:effectExtent l="19050" t="0" r="1905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83871" w:rsidRDefault="00CA4EBF" w:rsidP="00F83871">
      <w:pPr>
        <w:jc w:val="center"/>
      </w:pPr>
      <w:r>
        <w:t>Slika</w:t>
      </w:r>
      <w:r w:rsidR="0023141B">
        <w:t xml:space="preserve"> 6</w:t>
      </w:r>
      <w:r w:rsidR="00F83871">
        <w:t>: Število društev po področjih</w:t>
      </w:r>
    </w:p>
    <w:p w:rsidR="00F83871" w:rsidRDefault="00F83871" w:rsidP="00F83871">
      <w:r>
        <w:t>Pri pregledu pruihodkov društev po posameznih področjih ugotavljamo, da imajo v absolutnem smislu največ prihodkov društva s področja športa in iz skupine društev za pomoč ljudem.</w:t>
      </w:r>
    </w:p>
    <w:p w:rsidR="00F83871" w:rsidRDefault="00F83871" w:rsidP="00F83871">
      <w:pPr>
        <w:jc w:val="center"/>
      </w:pPr>
      <w:r w:rsidRPr="00F83871">
        <w:rPr>
          <w:noProof/>
          <w:lang w:eastAsia="sl-SI"/>
        </w:rPr>
        <w:drawing>
          <wp:inline distT="0" distB="0" distL="0" distR="0">
            <wp:extent cx="5353050" cy="3333750"/>
            <wp:effectExtent l="19050" t="0" r="1905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83871" w:rsidRDefault="00CA4EBF" w:rsidP="00F83871">
      <w:pPr>
        <w:jc w:val="center"/>
      </w:pPr>
      <w:r>
        <w:t>Slika</w:t>
      </w:r>
      <w:r w:rsidR="0023141B">
        <w:t xml:space="preserve"> 7</w:t>
      </w:r>
      <w:r w:rsidR="00F83871">
        <w:t>: Prihodki društev po posameznih področjih</w:t>
      </w:r>
    </w:p>
    <w:p w:rsidR="00F83871" w:rsidRDefault="00F83871" w:rsidP="00F83871">
      <w:r>
        <w:t>Če iste podatke uravnotežimo s številom društev, se izkaže, da imajo največji povprečne prihodke na posamezno organizacijo društva za pomoč ljudem in stanovska društva.</w:t>
      </w:r>
    </w:p>
    <w:p w:rsidR="00F83871" w:rsidRDefault="00F83871" w:rsidP="00F83871">
      <w:pPr>
        <w:jc w:val="center"/>
      </w:pPr>
      <w:r w:rsidRPr="00F83871">
        <w:rPr>
          <w:noProof/>
          <w:lang w:eastAsia="sl-SI"/>
        </w:rPr>
        <w:drawing>
          <wp:inline distT="0" distB="0" distL="0" distR="0">
            <wp:extent cx="5667375" cy="3343275"/>
            <wp:effectExtent l="19050" t="0" r="9525"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83871" w:rsidRDefault="00CA4EBF" w:rsidP="00F83871">
      <w:pPr>
        <w:jc w:val="center"/>
      </w:pPr>
      <w:r>
        <w:t>Slika</w:t>
      </w:r>
      <w:r w:rsidR="00F83871">
        <w:t xml:space="preserve"> </w:t>
      </w:r>
      <w:r w:rsidR="0023141B">
        <w:t>8</w:t>
      </w:r>
      <w:r w:rsidR="00F83871">
        <w:t>: Povprečni prihodki na organizacijo po posameznih področjih</w:t>
      </w:r>
    </w:p>
    <w:p w:rsidR="0023141B" w:rsidRDefault="0023141B" w:rsidP="0023141B">
      <w:pPr>
        <w:jc w:val="center"/>
      </w:pPr>
      <w:r w:rsidRPr="0023141B">
        <w:rPr>
          <w:noProof/>
          <w:lang w:eastAsia="sl-SI"/>
        </w:rPr>
        <w:drawing>
          <wp:inline distT="0" distB="0" distL="0" distR="0">
            <wp:extent cx="5638800" cy="3352800"/>
            <wp:effectExtent l="19050" t="0" r="1905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3141B" w:rsidRDefault="00CA4EBF" w:rsidP="0023141B">
      <w:pPr>
        <w:jc w:val="center"/>
      </w:pPr>
      <w:r>
        <w:t>Slika</w:t>
      </w:r>
      <w:r w:rsidR="0023141B">
        <w:t xml:space="preserve"> 9: Struktura prihodkov po področjih</w:t>
      </w:r>
    </w:p>
    <w:p w:rsidR="0023141B" w:rsidRDefault="0023141B" w:rsidP="0023141B">
      <w:pPr>
        <w:jc w:val="center"/>
      </w:pPr>
    </w:p>
    <w:p w:rsidR="0023141B" w:rsidRDefault="0023141B" w:rsidP="0023141B">
      <w:pPr>
        <w:jc w:val="center"/>
      </w:pPr>
    </w:p>
    <w:p w:rsidR="0023141B" w:rsidRDefault="0023141B" w:rsidP="00F83871"/>
    <w:p w:rsidR="00F83871" w:rsidRDefault="00692C79" w:rsidP="00F83871">
      <w:r>
        <w:t>V absolutnem smislu je n</w:t>
      </w:r>
      <w:r w:rsidR="00F83871">
        <w:t xml:space="preserve">ajveč oseb zaposlenih v </w:t>
      </w:r>
      <w:r>
        <w:t xml:space="preserve">društvih za pomoč ljudem in </w:t>
      </w:r>
      <w:r w:rsidR="00F83871">
        <w:t>športnih društvih</w:t>
      </w:r>
      <w:r w:rsidR="0023141B">
        <w:t>, kjer najdemo tudi največ zaposlovalcev.</w:t>
      </w:r>
    </w:p>
    <w:p w:rsidR="00692C79" w:rsidRDefault="00692C79" w:rsidP="00F83871">
      <w:r w:rsidRPr="00692C79">
        <w:rPr>
          <w:noProof/>
          <w:lang w:eastAsia="sl-SI"/>
        </w:rPr>
        <w:drawing>
          <wp:inline distT="0" distB="0" distL="0" distR="0">
            <wp:extent cx="5760720" cy="3123834"/>
            <wp:effectExtent l="19050" t="0" r="11430" b="366"/>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3141B" w:rsidRDefault="00CA4EBF" w:rsidP="0023141B">
      <w:pPr>
        <w:jc w:val="center"/>
      </w:pPr>
      <w:r>
        <w:t>Slika</w:t>
      </w:r>
      <w:r w:rsidR="0023141B">
        <w:t xml:space="preserve"> 10: Število zaposlenih in zaposlovalcev po področjih</w:t>
      </w:r>
    </w:p>
    <w:p w:rsidR="00CA4EBF" w:rsidRDefault="00CA4EBF" w:rsidP="00F83871">
      <w:pPr>
        <w:jc w:val="center"/>
        <w:sectPr w:rsidR="00CA4EBF" w:rsidSect="00B0692D">
          <w:headerReference w:type="default" r:id="rId16"/>
          <w:pgSz w:w="11906" w:h="16838"/>
          <w:pgMar w:top="1985" w:right="1417" w:bottom="1417" w:left="1417" w:header="708" w:footer="708" w:gutter="0"/>
          <w:cols w:space="708"/>
          <w:docGrid w:linePitch="360"/>
        </w:sectPr>
      </w:pPr>
    </w:p>
    <w:p w:rsidR="00F83871" w:rsidRDefault="00F83871" w:rsidP="00CA4EBF"/>
    <w:p w:rsidR="00CA4EBF" w:rsidRDefault="00CA4EBF" w:rsidP="00CA4EBF"/>
    <w:p w:rsidR="00AC6A1D" w:rsidRDefault="00AC6A1D" w:rsidP="00CA4EBF"/>
    <w:p w:rsidR="00AC6A1D" w:rsidRDefault="00AC6A1D" w:rsidP="00AC6A1D">
      <w:pPr>
        <w:pStyle w:val="Naslov1"/>
      </w:pPr>
      <w:r>
        <w:t>PRILOGA: Pregledi finančnih in zaposlitvenih podatkov NVO</w:t>
      </w:r>
    </w:p>
    <w:p w:rsidR="00CA4EBF" w:rsidRDefault="00CA4EBF" w:rsidP="00CA4EBF"/>
    <w:tbl>
      <w:tblPr>
        <w:tblW w:w="14480" w:type="dxa"/>
        <w:jc w:val="center"/>
        <w:tblCellMar>
          <w:left w:w="70" w:type="dxa"/>
          <w:right w:w="70" w:type="dxa"/>
        </w:tblCellMar>
        <w:tblLook w:val="04A0" w:firstRow="1" w:lastRow="0" w:firstColumn="1" w:lastColumn="0" w:noHBand="0" w:noVBand="1"/>
      </w:tblPr>
      <w:tblGrid>
        <w:gridCol w:w="688"/>
        <w:gridCol w:w="2972"/>
        <w:gridCol w:w="900"/>
        <w:gridCol w:w="991"/>
        <w:gridCol w:w="1225"/>
        <w:gridCol w:w="1032"/>
        <w:gridCol w:w="1032"/>
        <w:gridCol w:w="1092"/>
        <w:gridCol w:w="1032"/>
        <w:gridCol w:w="935"/>
        <w:gridCol w:w="976"/>
        <w:gridCol w:w="935"/>
        <w:gridCol w:w="1109"/>
      </w:tblGrid>
      <w:tr w:rsidR="00CA4EBF" w:rsidRPr="00CA4EBF" w:rsidTr="00CA4EBF">
        <w:trPr>
          <w:trHeight w:val="1140"/>
          <w:jc w:val="center"/>
        </w:trPr>
        <w:tc>
          <w:tcPr>
            <w:tcW w:w="3660" w:type="dxa"/>
            <w:gridSpan w:val="2"/>
            <w:tcBorders>
              <w:top w:val="single" w:sz="8" w:space="0" w:color="auto"/>
              <w:left w:val="single" w:sz="8" w:space="0" w:color="auto"/>
              <w:bottom w:val="nil"/>
              <w:right w:val="single" w:sz="4" w:space="0" w:color="auto"/>
            </w:tcBorders>
            <w:shd w:val="clear" w:color="auto" w:fill="auto"/>
            <w:noWrap/>
            <w:vAlign w:val="bottom"/>
            <w:hideMark/>
          </w:tcPr>
          <w:p w:rsidR="00CA4EBF" w:rsidRPr="00CA4EBF" w:rsidRDefault="00CA4EBF" w:rsidP="00CA4EBF">
            <w:pPr>
              <w:spacing w:after="0" w:line="240" w:lineRule="auto"/>
              <w:jc w:val="center"/>
              <w:rPr>
                <w:rFonts w:ascii="Calibri" w:eastAsia="Times New Roman" w:hAnsi="Calibri" w:cs="Times New Roman"/>
                <w:b/>
                <w:bCs/>
                <w:color w:val="000000"/>
                <w:lang w:eastAsia="sl-SI"/>
              </w:rPr>
            </w:pPr>
            <w:r w:rsidRPr="00CA4EBF">
              <w:rPr>
                <w:rFonts w:ascii="Calibri" w:eastAsia="Times New Roman" w:hAnsi="Calibri" w:cs="Times New Roman"/>
                <w:b/>
                <w:bCs/>
                <w:color w:val="000000"/>
                <w:lang w:eastAsia="sl-SI"/>
              </w:rPr>
              <w:t>Skupina</w:t>
            </w:r>
          </w:p>
        </w:tc>
        <w:tc>
          <w:tcPr>
            <w:tcW w:w="900" w:type="dxa"/>
            <w:tcBorders>
              <w:top w:val="single" w:sz="8" w:space="0" w:color="auto"/>
              <w:left w:val="nil"/>
              <w:bottom w:val="nil"/>
              <w:right w:val="single" w:sz="4" w:space="0" w:color="auto"/>
            </w:tcBorders>
            <w:shd w:val="clear" w:color="auto" w:fill="auto"/>
            <w:vAlign w:val="center"/>
            <w:hideMark/>
          </w:tcPr>
          <w:p w:rsidR="00CA4EBF" w:rsidRPr="00CA4EBF" w:rsidRDefault="00CA4EBF" w:rsidP="00CA4EBF">
            <w:pPr>
              <w:spacing w:after="0" w:line="240" w:lineRule="auto"/>
              <w:jc w:val="center"/>
              <w:rPr>
                <w:rFonts w:ascii="Arial" w:eastAsia="Times New Roman" w:hAnsi="Arial" w:cs="Arial"/>
                <w:b/>
                <w:bCs/>
                <w:color w:val="000000"/>
                <w:sz w:val="16"/>
                <w:szCs w:val="16"/>
                <w:lang w:eastAsia="sl-SI"/>
              </w:rPr>
            </w:pPr>
            <w:r w:rsidRPr="00CA4EBF">
              <w:rPr>
                <w:rFonts w:ascii="Arial" w:eastAsia="Times New Roman" w:hAnsi="Arial" w:cs="Arial"/>
                <w:b/>
                <w:bCs/>
                <w:color w:val="000000"/>
                <w:sz w:val="16"/>
                <w:szCs w:val="16"/>
                <w:lang w:eastAsia="sl-SI"/>
              </w:rPr>
              <w:t>Št. društev</w:t>
            </w:r>
          </w:p>
        </w:tc>
        <w:tc>
          <w:tcPr>
            <w:tcW w:w="991" w:type="dxa"/>
            <w:tcBorders>
              <w:top w:val="single" w:sz="8" w:space="0" w:color="auto"/>
              <w:left w:val="nil"/>
              <w:bottom w:val="nil"/>
              <w:right w:val="single" w:sz="4" w:space="0" w:color="auto"/>
            </w:tcBorders>
            <w:shd w:val="clear" w:color="auto" w:fill="auto"/>
            <w:vAlign w:val="center"/>
            <w:hideMark/>
          </w:tcPr>
          <w:p w:rsidR="00CA4EBF" w:rsidRPr="00CA4EBF" w:rsidRDefault="00CA4EBF" w:rsidP="00CA4EBF">
            <w:pPr>
              <w:spacing w:after="0" w:line="240" w:lineRule="auto"/>
              <w:jc w:val="center"/>
              <w:rPr>
                <w:rFonts w:ascii="Arial" w:eastAsia="Times New Roman" w:hAnsi="Arial" w:cs="Arial"/>
                <w:b/>
                <w:bCs/>
                <w:color w:val="000000"/>
                <w:sz w:val="16"/>
                <w:szCs w:val="16"/>
                <w:lang w:eastAsia="sl-SI"/>
              </w:rPr>
            </w:pPr>
            <w:r w:rsidRPr="00CA4EBF">
              <w:rPr>
                <w:rFonts w:ascii="Arial" w:eastAsia="Times New Roman" w:hAnsi="Arial" w:cs="Arial"/>
                <w:b/>
                <w:bCs/>
                <w:color w:val="000000"/>
                <w:sz w:val="16"/>
                <w:szCs w:val="16"/>
                <w:lang w:eastAsia="sl-SI"/>
              </w:rPr>
              <w:t>Število zaposlenih</w:t>
            </w:r>
          </w:p>
        </w:tc>
        <w:tc>
          <w:tcPr>
            <w:tcW w:w="1095" w:type="dxa"/>
            <w:tcBorders>
              <w:top w:val="single" w:sz="8" w:space="0" w:color="auto"/>
              <w:left w:val="nil"/>
              <w:bottom w:val="nil"/>
              <w:right w:val="single" w:sz="4" w:space="0" w:color="auto"/>
            </w:tcBorders>
            <w:shd w:val="clear" w:color="000000" w:fill="F2F2F2"/>
            <w:vAlign w:val="center"/>
            <w:hideMark/>
          </w:tcPr>
          <w:p w:rsidR="00CA4EBF" w:rsidRPr="00CA4EBF" w:rsidRDefault="00CA4EBF" w:rsidP="00CA4EBF">
            <w:pPr>
              <w:spacing w:after="0" w:line="240" w:lineRule="auto"/>
              <w:jc w:val="center"/>
              <w:rPr>
                <w:rFonts w:ascii="Arial" w:eastAsia="Times New Roman" w:hAnsi="Arial" w:cs="Arial"/>
                <w:b/>
                <w:bCs/>
                <w:color w:val="000000"/>
                <w:sz w:val="16"/>
                <w:szCs w:val="16"/>
                <w:lang w:eastAsia="sl-SI"/>
              </w:rPr>
            </w:pPr>
            <w:r w:rsidRPr="00CA4EBF">
              <w:rPr>
                <w:rFonts w:ascii="Arial" w:eastAsia="Times New Roman" w:hAnsi="Arial" w:cs="Arial"/>
                <w:b/>
                <w:bCs/>
                <w:color w:val="000000"/>
                <w:sz w:val="16"/>
                <w:szCs w:val="16"/>
                <w:lang w:eastAsia="sl-SI"/>
              </w:rPr>
              <w:t>Št. zaposlovalcev</w:t>
            </w:r>
          </w:p>
        </w:tc>
        <w:tc>
          <w:tcPr>
            <w:tcW w:w="960" w:type="dxa"/>
            <w:tcBorders>
              <w:top w:val="single" w:sz="8" w:space="0" w:color="auto"/>
              <w:left w:val="nil"/>
              <w:bottom w:val="nil"/>
              <w:right w:val="single" w:sz="4" w:space="0" w:color="auto"/>
            </w:tcBorders>
            <w:shd w:val="clear" w:color="auto" w:fill="auto"/>
            <w:noWrap/>
            <w:vAlign w:val="center"/>
            <w:hideMark/>
          </w:tcPr>
          <w:p w:rsidR="00CA4EBF" w:rsidRPr="00CA4EBF" w:rsidRDefault="00CA4EBF" w:rsidP="00CA4EBF">
            <w:pPr>
              <w:spacing w:after="0" w:line="240" w:lineRule="auto"/>
              <w:jc w:val="center"/>
              <w:rPr>
                <w:rFonts w:ascii="Arial" w:eastAsia="Times New Roman" w:hAnsi="Arial" w:cs="Arial"/>
                <w:b/>
                <w:bCs/>
                <w:color w:val="000000"/>
                <w:sz w:val="16"/>
                <w:szCs w:val="16"/>
                <w:lang w:eastAsia="sl-SI"/>
              </w:rPr>
            </w:pPr>
            <w:r w:rsidRPr="00CA4EBF">
              <w:rPr>
                <w:rFonts w:ascii="Arial" w:eastAsia="Times New Roman" w:hAnsi="Arial" w:cs="Arial"/>
                <w:b/>
                <w:bCs/>
                <w:color w:val="000000"/>
                <w:sz w:val="16"/>
                <w:szCs w:val="16"/>
                <w:lang w:eastAsia="sl-SI"/>
              </w:rPr>
              <w:t>Sredstva</w:t>
            </w:r>
          </w:p>
        </w:tc>
        <w:tc>
          <w:tcPr>
            <w:tcW w:w="1018" w:type="dxa"/>
            <w:tcBorders>
              <w:top w:val="single" w:sz="8" w:space="0" w:color="auto"/>
              <w:left w:val="nil"/>
              <w:bottom w:val="nil"/>
              <w:right w:val="single" w:sz="4" w:space="0" w:color="auto"/>
            </w:tcBorders>
            <w:shd w:val="clear" w:color="auto" w:fill="auto"/>
            <w:vAlign w:val="center"/>
            <w:hideMark/>
          </w:tcPr>
          <w:p w:rsidR="00CA4EBF" w:rsidRPr="00CA4EBF" w:rsidRDefault="00CA4EBF" w:rsidP="00CA4EBF">
            <w:pPr>
              <w:spacing w:after="0" w:line="240" w:lineRule="auto"/>
              <w:jc w:val="center"/>
              <w:rPr>
                <w:rFonts w:ascii="Arial" w:eastAsia="Times New Roman" w:hAnsi="Arial" w:cs="Arial"/>
                <w:b/>
                <w:bCs/>
                <w:color w:val="000000"/>
                <w:sz w:val="16"/>
                <w:szCs w:val="16"/>
                <w:lang w:eastAsia="sl-SI"/>
              </w:rPr>
            </w:pPr>
            <w:r w:rsidRPr="00CA4EBF">
              <w:rPr>
                <w:rFonts w:ascii="Arial" w:eastAsia="Times New Roman" w:hAnsi="Arial" w:cs="Arial"/>
                <w:b/>
                <w:bCs/>
                <w:color w:val="000000"/>
                <w:sz w:val="16"/>
                <w:szCs w:val="16"/>
                <w:lang w:eastAsia="sl-SI"/>
              </w:rPr>
              <w:t>Celotni prihodki</w:t>
            </w:r>
          </w:p>
        </w:tc>
        <w:tc>
          <w:tcPr>
            <w:tcW w:w="1092" w:type="dxa"/>
            <w:tcBorders>
              <w:top w:val="single" w:sz="8" w:space="0" w:color="auto"/>
              <w:left w:val="nil"/>
              <w:bottom w:val="nil"/>
              <w:right w:val="single" w:sz="4" w:space="0" w:color="auto"/>
            </w:tcBorders>
            <w:shd w:val="clear" w:color="000000" w:fill="F2F2F2"/>
            <w:vAlign w:val="center"/>
            <w:hideMark/>
          </w:tcPr>
          <w:p w:rsidR="00CA4EBF" w:rsidRPr="00CA4EBF" w:rsidRDefault="00CA4EBF" w:rsidP="00CA4EBF">
            <w:pPr>
              <w:spacing w:after="0" w:line="240" w:lineRule="auto"/>
              <w:jc w:val="center"/>
              <w:rPr>
                <w:rFonts w:ascii="Arial" w:eastAsia="Times New Roman" w:hAnsi="Arial" w:cs="Arial"/>
                <w:b/>
                <w:bCs/>
                <w:color w:val="000000"/>
                <w:sz w:val="16"/>
                <w:szCs w:val="16"/>
                <w:lang w:eastAsia="sl-SI"/>
              </w:rPr>
            </w:pPr>
            <w:r w:rsidRPr="00CA4EBF">
              <w:rPr>
                <w:rFonts w:ascii="Arial" w:eastAsia="Times New Roman" w:hAnsi="Arial" w:cs="Arial"/>
                <w:b/>
                <w:bCs/>
                <w:color w:val="000000"/>
                <w:sz w:val="16"/>
                <w:szCs w:val="16"/>
                <w:lang w:eastAsia="sl-SI"/>
              </w:rPr>
              <w:t>Prihodki / organizacijo</w:t>
            </w:r>
          </w:p>
        </w:tc>
        <w:tc>
          <w:tcPr>
            <w:tcW w:w="968" w:type="dxa"/>
            <w:tcBorders>
              <w:top w:val="single" w:sz="8" w:space="0" w:color="auto"/>
              <w:left w:val="nil"/>
              <w:bottom w:val="nil"/>
              <w:right w:val="single" w:sz="4" w:space="0" w:color="auto"/>
            </w:tcBorders>
            <w:shd w:val="clear" w:color="auto" w:fill="auto"/>
            <w:vAlign w:val="center"/>
            <w:hideMark/>
          </w:tcPr>
          <w:p w:rsidR="00CA4EBF" w:rsidRPr="00CA4EBF" w:rsidRDefault="00CA4EBF" w:rsidP="00CA4EBF">
            <w:pPr>
              <w:spacing w:after="0" w:line="240" w:lineRule="auto"/>
              <w:jc w:val="center"/>
              <w:rPr>
                <w:rFonts w:ascii="Arial" w:eastAsia="Times New Roman" w:hAnsi="Arial" w:cs="Arial"/>
                <w:b/>
                <w:bCs/>
                <w:color w:val="000000"/>
                <w:sz w:val="16"/>
                <w:szCs w:val="16"/>
                <w:lang w:eastAsia="sl-SI"/>
              </w:rPr>
            </w:pPr>
            <w:r w:rsidRPr="00CA4EBF">
              <w:rPr>
                <w:rFonts w:ascii="Arial" w:eastAsia="Times New Roman" w:hAnsi="Arial" w:cs="Arial"/>
                <w:b/>
                <w:bCs/>
                <w:color w:val="000000"/>
                <w:sz w:val="16"/>
                <w:szCs w:val="16"/>
                <w:lang w:eastAsia="sl-SI"/>
              </w:rPr>
              <w:t>Celotni odhodki</w:t>
            </w:r>
          </w:p>
        </w:tc>
        <w:tc>
          <w:tcPr>
            <w:tcW w:w="935" w:type="dxa"/>
            <w:tcBorders>
              <w:top w:val="single" w:sz="8" w:space="0" w:color="auto"/>
              <w:left w:val="nil"/>
              <w:bottom w:val="nil"/>
              <w:right w:val="single" w:sz="4" w:space="0" w:color="auto"/>
            </w:tcBorders>
            <w:shd w:val="clear" w:color="auto" w:fill="auto"/>
            <w:vAlign w:val="center"/>
            <w:hideMark/>
          </w:tcPr>
          <w:p w:rsidR="00CA4EBF" w:rsidRPr="00CA4EBF" w:rsidRDefault="00CA4EBF" w:rsidP="00CA4EBF">
            <w:pPr>
              <w:spacing w:after="0" w:line="240" w:lineRule="auto"/>
              <w:jc w:val="center"/>
              <w:rPr>
                <w:rFonts w:ascii="Arial" w:eastAsia="Times New Roman" w:hAnsi="Arial" w:cs="Arial"/>
                <w:b/>
                <w:bCs/>
                <w:color w:val="000000"/>
                <w:sz w:val="16"/>
                <w:szCs w:val="16"/>
                <w:lang w:eastAsia="sl-SI"/>
              </w:rPr>
            </w:pPr>
            <w:r w:rsidRPr="00CA4EBF">
              <w:rPr>
                <w:rFonts w:ascii="Arial" w:eastAsia="Times New Roman" w:hAnsi="Arial" w:cs="Arial"/>
                <w:b/>
                <w:bCs/>
                <w:color w:val="000000"/>
                <w:sz w:val="16"/>
                <w:szCs w:val="16"/>
                <w:lang w:eastAsia="sl-SI"/>
              </w:rPr>
              <w:t>Celotni prihodki od pridobitne dejavnosti</w:t>
            </w:r>
          </w:p>
        </w:tc>
        <w:tc>
          <w:tcPr>
            <w:tcW w:w="942" w:type="dxa"/>
            <w:tcBorders>
              <w:top w:val="single" w:sz="8" w:space="0" w:color="auto"/>
              <w:left w:val="nil"/>
              <w:bottom w:val="nil"/>
              <w:right w:val="single" w:sz="4" w:space="0" w:color="auto"/>
            </w:tcBorders>
            <w:shd w:val="clear" w:color="000000" w:fill="F2F2F2"/>
            <w:vAlign w:val="center"/>
            <w:hideMark/>
          </w:tcPr>
          <w:p w:rsidR="00CA4EBF" w:rsidRPr="00CA4EBF" w:rsidRDefault="00CA4EBF" w:rsidP="00CA4EBF">
            <w:pPr>
              <w:spacing w:after="0" w:line="240" w:lineRule="auto"/>
              <w:jc w:val="center"/>
              <w:rPr>
                <w:rFonts w:ascii="Arial" w:eastAsia="Times New Roman" w:hAnsi="Arial" w:cs="Arial"/>
                <w:b/>
                <w:bCs/>
                <w:color w:val="000000"/>
                <w:sz w:val="16"/>
                <w:szCs w:val="16"/>
                <w:lang w:eastAsia="sl-SI"/>
              </w:rPr>
            </w:pPr>
            <w:r w:rsidRPr="00CA4EBF">
              <w:rPr>
                <w:rFonts w:ascii="Arial" w:eastAsia="Times New Roman" w:hAnsi="Arial" w:cs="Arial"/>
                <w:b/>
                <w:bCs/>
                <w:color w:val="000000"/>
                <w:sz w:val="16"/>
                <w:szCs w:val="16"/>
                <w:lang w:eastAsia="sl-SI"/>
              </w:rPr>
              <w:t>Delež pridobitnih prihodkov</w:t>
            </w:r>
          </w:p>
        </w:tc>
        <w:tc>
          <w:tcPr>
            <w:tcW w:w="935" w:type="dxa"/>
            <w:tcBorders>
              <w:top w:val="single" w:sz="8" w:space="0" w:color="auto"/>
              <w:left w:val="nil"/>
              <w:bottom w:val="nil"/>
              <w:right w:val="single" w:sz="4" w:space="0" w:color="auto"/>
            </w:tcBorders>
            <w:shd w:val="clear" w:color="auto" w:fill="auto"/>
            <w:vAlign w:val="center"/>
            <w:hideMark/>
          </w:tcPr>
          <w:p w:rsidR="00CA4EBF" w:rsidRPr="00CA4EBF" w:rsidRDefault="00CA4EBF" w:rsidP="00CA4EBF">
            <w:pPr>
              <w:spacing w:after="0" w:line="240" w:lineRule="auto"/>
              <w:jc w:val="center"/>
              <w:rPr>
                <w:rFonts w:ascii="Arial" w:eastAsia="Times New Roman" w:hAnsi="Arial" w:cs="Arial"/>
                <w:b/>
                <w:bCs/>
                <w:color w:val="000000"/>
                <w:sz w:val="16"/>
                <w:szCs w:val="16"/>
                <w:lang w:eastAsia="sl-SI"/>
              </w:rPr>
            </w:pPr>
            <w:r w:rsidRPr="00CA4EBF">
              <w:rPr>
                <w:rFonts w:ascii="Arial" w:eastAsia="Times New Roman" w:hAnsi="Arial" w:cs="Arial"/>
                <w:b/>
                <w:bCs/>
                <w:color w:val="000000"/>
                <w:sz w:val="16"/>
                <w:szCs w:val="16"/>
                <w:lang w:eastAsia="sl-SI"/>
              </w:rPr>
              <w:t>Celotni odhodki od pridobitne dejavnosti</w:t>
            </w:r>
          </w:p>
        </w:tc>
        <w:tc>
          <w:tcPr>
            <w:tcW w:w="984" w:type="dxa"/>
            <w:tcBorders>
              <w:top w:val="single" w:sz="8" w:space="0" w:color="auto"/>
              <w:left w:val="nil"/>
              <w:bottom w:val="nil"/>
              <w:right w:val="single" w:sz="8" w:space="0" w:color="auto"/>
            </w:tcBorders>
            <w:shd w:val="clear" w:color="auto" w:fill="auto"/>
            <w:vAlign w:val="center"/>
            <w:hideMark/>
          </w:tcPr>
          <w:p w:rsidR="00CA4EBF" w:rsidRPr="00CA4EBF" w:rsidRDefault="00CA4EBF" w:rsidP="00CA4EBF">
            <w:pPr>
              <w:spacing w:after="0" w:line="240" w:lineRule="auto"/>
              <w:jc w:val="center"/>
              <w:rPr>
                <w:rFonts w:ascii="Arial" w:eastAsia="Times New Roman" w:hAnsi="Arial" w:cs="Arial"/>
                <w:b/>
                <w:bCs/>
                <w:color w:val="000000"/>
                <w:sz w:val="16"/>
                <w:szCs w:val="16"/>
                <w:lang w:eastAsia="sl-SI"/>
              </w:rPr>
            </w:pPr>
            <w:r w:rsidRPr="00CA4EBF">
              <w:rPr>
                <w:rFonts w:ascii="Arial" w:eastAsia="Times New Roman" w:hAnsi="Arial" w:cs="Arial"/>
                <w:b/>
                <w:bCs/>
                <w:color w:val="000000"/>
                <w:sz w:val="16"/>
                <w:szCs w:val="16"/>
                <w:lang w:eastAsia="sl-SI"/>
              </w:rPr>
              <w:t>NETO PRESEŽEK PRIHODKOV NAD  ODHODKI</w:t>
            </w:r>
          </w:p>
        </w:tc>
      </w:tr>
      <w:tr w:rsidR="00CA4EBF" w:rsidRPr="00CA4EBF" w:rsidTr="00CA4EBF">
        <w:trPr>
          <w:trHeight w:val="300"/>
          <w:jc w:val="center"/>
        </w:trPr>
        <w:tc>
          <w:tcPr>
            <w:tcW w:w="688" w:type="dxa"/>
            <w:tcBorders>
              <w:top w:val="single" w:sz="8" w:space="0" w:color="auto"/>
              <w:left w:val="single" w:sz="8" w:space="0" w:color="auto"/>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100</w:t>
            </w:r>
          </w:p>
        </w:tc>
        <w:tc>
          <w:tcPr>
            <w:tcW w:w="2972" w:type="dxa"/>
            <w:tcBorders>
              <w:top w:val="single" w:sz="8" w:space="0" w:color="auto"/>
              <w:left w:val="nil"/>
              <w:bottom w:val="single" w:sz="4" w:space="0" w:color="auto"/>
              <w:right w:val="single" w:sz="4" w:space="0" w:color="auto"/>
            </w:tcBorders>
            <w:shd w:val="clear" w:color="auto" w:fill="auto"/>
            <w:hideMark/>
          </w:tcPr>
          <w:p w:rsidR="00CA4EBF" w:rsidRPr="00CA4EBF" w:rsidRDefault="00CA4EBF" w:rsidP="00CA4EBF">
            <w:pPr>
              <w:spacing w:after="0" w:line="240" w:lineRule="auto"/>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Športna društva</w:t>
            </w:r>
          </w:p>
        </w:tc>
        <w:tc>
          <w:tcPr>
            <w:tcW w:w="900" w:type="dxa"/>
            <w:tcBorders>
              <w:top w:val="single" w:sz="8" w:space="0" w:color="auto"/>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172</w:t>
            </w:r>
          </w:p>
        </w:tc>
        <w:tc>
          <w:tcPr>
            <w:tcW w:w="991" w:type="dxa"/>
            <w:tcBorders>
              <w:top w:val="single" w:sz="8" w:space="0" w:color="auto"/>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8,07</w:t>
            </w:r>
          </w:p>
        </w:tc>
        <w:tc>
          <w:tcPr>
            <w:tcW w:w="1095" w:type="dxa"/>
            <w:tcBorders>
              <w:top w:val="single" w:sz="8" w:space="0" w:color="auto"/>
              <w:left w:val="nil"/>
              <w:bottom w:val="single" w:sz="4" w:space="0" w:color="auto"/>
              <w:right w:val="nil"/>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3</w:t>
            </w:r>
          </w:p>
        </w:tc>
        <w:tc>
          <w:tcPr>
            <w:tcW w:w="960" w:type="dxa"/>
            <w:tcBorders>
              <w:top w:val="single" w:sz="8" w:space="0" w:color="auto"/>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1.954.367</w:t>
            </w:r>
          </w:p>
        </w:tc>
        <w:tc>
          <w:tcPr>
            <w:tcW w:w="1018" w:type="dxa"/>
            <w:tcBorders>
              <w:top w:val="single" w:sz="8" w:space="0" w:color="auto"/>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2.448.054</w:t>
            </w:r>
          </w:p>
        </w:tc>
        <w:tc>
          <w:tcPr>
            <w:tcW w:w="1092" w:type="dxa"/>
            <w:tcBorders>
              <w:top w:val="single" w:sz="8" w:space="0" w:color="auto"/>
              <w:left w:val="nil"/>
              <w:bottom w:val="single" w:sz="4" w:space="0" w:color="auto"/>
              <w:right w:val="single" w:sz="4" w:space="0" w:color="auto"/>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14.233</w:t>
            </w:r>
          </w:p>
        </w:tc>
        <w:tc>
          <w:tcPr>
            <w:tcW w:w="968" w:type="dxa"/>
            <w:tcBorders>
              <w:top w:val="single" w:sz="8" w:space="0" w:color="auto"/>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2.343.470</w:t>
            </w:r>
          </w:p>
        </w:tc>
        <w:tc>
          <w:tcPr>
            <w:tcW w:w="935" w:type="dxa"/>
            <w:tcBorders>
              <w:top w:val="single" w:sz="8" w:space="0" w:color="auto"/>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828.037</w:t>
            </w:r>
          </w:p>
        </w:tc>
        <w:tc>
          <w:tcPr>
            <w:tcW w:w="942" w:type="dxa"/>
            <w:tcBorders>
              <w:top w:val="single" w:sz="8" w:space="0" w:color="auto"/>
              <w:left w:val="nil"/>
              <w:bottom w:val="single" w:sz="4" w:space="0" w:color="auto"/>
              <w:right w:val="single" w:sz="4" w:space="0" w:color="auto"/>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33,8%</w:t>
            </w:r>
          </w:p>
        </w:tc>
        <w:tc>
          <w:tcPr>
            <w:tcW w:w="935" w:type="dxa"/>
            <w:tcBorders>
              <w:top w:val="single" w:sz="8" w:space="0" w:color="auto"/>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803.415</w:t>
            </w:r>
          </w:p>
        </w:tc>
        <w:tc>
          <w:tcPr>
            <w:tcW w:w="984" w:type="dxa"/>
            <w:tcBorders>
              <w:top w:val="single" w:sz="8" w:space="0" w:color="auto"/>
              <w:left w:val="nil"/>
              <w:bottom w:val="single" w:sz="4" w:space="0" w:color="auto"/>
              <w:right w:val="single" w:sz="8"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104.584</w:t>
            </w:r>
          </w:p>
        </w:tc>
      </w:tr>
      <w:tr w:rsidR="00CA4EBF" w:rsidRPr="00CA4EBF" w:rsidTr="00CA4EBF">
        <w:trPr>
          <w:trHeight w:val="345"/>
          <w:jc w:val="center"/>
        </w:trPr>
        <w:tc>
          <w:tcPr>
            <w:tcW w:w="688" w:type="dxa"/>
            <w:tcBorders>
              <w:top w:val="nil"/>
              <w:left w:val="single" w:sz="8" w:space="0" w:color="auto"/>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200</w:t>
            </w:r>
          </w:p>
        </w:tc>
        <w:tc>
          <w:tcPr>
            <w:tcW w:w="2972" w:type="dxa"/>
            <w:tcBorders>
              <w:top w:val="nil"/>
              <w:left w:val="nil"/>
              <w:bottom w:val="single" w:sz="4" w:space="0" w:color="auto"/>
              <w:right w:val="single" w:sz="4" w:space="0" w:color="auto"/>
            </w:tcBorders>
            <w:shd w:val="clear" w:color="auto" w:fill="auto"/>
            <w:hideMark/>
          </w:tcPr>
          <w:p w:rsidR="00CA4EBF" w:rsidRPr="00CA4EBF" w:rsidRDefault="00CA4EBF" w:rsidP="00CA4EBF">
            <w:pPr>
              <w:spacing w:after="0" w:line="240" w:lineRule="auto"/>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Društva za pomoč ljudem (gasilci, invalidska...)</w:t>
            </w:r>
          </w:p>
        </w:tc>
        <w:tc>
          <w:tcPr>
            <w:tcW w:w="900"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85</w:t>
            </w:r>
          </w:p>
        </w:tc>
        <w:tc>
          <w:tcPr>
            <w:tcW w:w="991"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28,87</w:t>
            </w:r>
          </w:p>
        </w:tc>
        <w:tc>
          <w:tcPr>
            <w:tcW w:w="1095" w:type="dxa"/>
            <w:tcBorders>
              <w:top w:val="nil"/>
              <w:left w:val="nil"/>
              <w:bottom w:val="single" w:sz="4" w:space="0" w:color="auto"/>
              <w:right w:val="nil"/>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12</w:t>
            </w:r>
          </w:p>
        </w:tc>
        <w:tc>
          <w:tcPr>
            <w:tcW w:w="960"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7.482.029</w:t>
            </w:r>
          </w:p>
        </w:tc>
        <w:tc>
          <w:tcPr>
            <w:tcW w:w="1018"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3.264.684</w:t>
            </w:r>
          </w:p>
        </w:tc>
        <w:tc>
          <w:tcPr>
            <w:tcW w:w="1092" w:type="dxa"/>
            <w:tcBorders>
              <w:top w:val="nil"/>
              <w:left w:val="nil"/>
              <w:bottom w:val="single" w:sz="4" w:space="0" w:color="auto"/>
              <w:right w:val="single" w:sz="4" w:space="0" w:color="auto"/>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38.408</w:t>
            </w:r>
          </w:p>
        </w:tc>
        <w:tc>
          <w:tcPr>
            <w:tcW w:w="968"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3.148.791</w:t>
            </w:r>
          </w:p>
        </w:tc>
        <w:tc>
          <w:tcPr>
            <w:tcW w:w="935"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500.945</w:t>
            </w:r>
          </w:p>
        </w:tc>
        <w:tc>
          <w:tcPr>
            <w:tcW w:w="942" w:type="dxa"/>
            <w:tcBorders>
              <w:top w:val="nil"/>
              <w:left w:val="nil"/>
              <w:bottom w:val="single" w:sz="4" w:space="0" w:color="auto"/>
              <w:right w:val="single" w:sz="4" w:space="0" w:color="auto"/>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15,3%</w:t>
            </w:r>
          </w:p>
        </w:tc>
        <w:tc>
          <w:tcPr>
            <w:tcW w:w="935"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498.880</w:t>
            </w:r>
          </w:p>
        </w:tc>
        <w:tc>
          <w:tcPr>
            <w:tcW w:w="984" w:type="dxa"/>
            <w:tcBorders>
              <w:top w:val="nil"/>
              <w:left w:val="nil"/>
              <w:bottom w:val="single" w:sz="4" w:space="0" w:color="auto"/>
              <w:right w:val="single" w:sz="8"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115.893</w:t>
            </w:r>
          </w:p>
        </w:tc>
      </w:tr>
      <w:tr w:rsidR="00CA4EBF" w:rsidRPr="00CA4EBF" w:rsidTr="00CA4EBF">
        <w:trPr>
          <w:trHeight w:val="300"/>
          <w:jc w:val="center"/>
        </w:trPr>
        <w:tc>
          <w:tcPr>
            <w:tcW w:w="688" w:type="dxa"/>
            <w:tcBorders>
              <w:top w:val="nil"/>
              <w:left w:val="single" w:sz="8" w:space="0" w:color="auto"/>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300</w:t>
            </w:r>
          </w:p>
        </w:tc>
        <w:tc>
          <w:tcPr>
            <w:tcW w:w="2972" w:type="dxa"/>
            <w:tcBorders>
              <w:top w:val="nil"/>
              <w:left w:val="nil"/>
              <w:bottom w:val="single" w:sz="4" w:space="0" w:color="auto"/>
              <w:right w:val="single" w:sz="4" w:space="0" w:color="auto"/>
            </w:tcBorders>
            <w:shd w:val="clear" w:color="auto" w:fill="auto"/>
            <w:hideMark/>
          </w:tcPr>
          <w:p w:rsidR="00CA4EBF" w:rsidRPr="00CA4EBF" w:rsidRDefault="00CA4EBF" w:rsidP="00CA4EBF">
            <w:pPr>
              <w:spacing w:after="0" w:line="240" w:lineRule="auto"/>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Kulturna društva</w:t>
            </w:r>
          </w:p>
        </w:tc>
        <w:tc>
          <w:tcPr>
            <w:tcW w:w="900"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101</w:t>
            </w:r>
          </w:p>
        </w:tc>
        <w:tc>
          <w:tcPr>
            <w:tcW w:w="991"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 </w:t>
            </w:r>
          </w:p>
        </w:tc>
        <w:tc>
          <w:tcPr>
            <w:tcW w:w="1095" w:type="dxa"/>
            <w:tcBorders>
              <w:top w:val="nil"/>
              <w:left w:val="nil"/>
              <w:bottom w:val="single" w:sz="4" w:space="0" w:color="auto"/>
              <w:right w:val="nil"/>
            </w:tcBorders>
            <w:shd w:val="clear" w:color="000000" w:fill="F2F2F2"/>
            <w:noWrap/>
            <w:hideMark/>
          </w:tcPr>
          <w:p w:rsidR="00CA4EBF" w:rsidRPr="00CA4EBF" w:rsidRDefault="00CA4EBF" w:rsidP="00CA4EBF">
            <w:pPr>
              <w:spacing w:after="0" w:line="240" w:lineRule="auto"/>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 </w:t>
            </w:r>
          </w:p>
        </w:tc>
        <w:tc>
          <w:tcPr>
            <w:tcW w:w="960"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465.261</w:t>
            </w:r>
          </w:p>
        </w:tc>
        <w:tc>
          <w:tcPr>
            <w:tcW w:w="1018"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764.602</w:t>
            </w:r>
          </w:p>
        </w:tc>
        <w:tc>
          <w:tcPr>
            <w:tcW w:w="1092" w:type="dxa"/>
            <w:tcBorders>
              <w:top w:val="nil"/>
              <w:left w:val="nil"/>
              <w:bottom w:val="single" w:sz="4" w:space="0" w:color="auto"/>
              <w:right w:val="single" w:sz="4" w:space="0" w:color="auto"/>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7.570</w:t>
            </w:r>
          </w:p>
        </w:tc>
        <w:tc>
          <w:tcPr>
            <w:tcW w:w="968"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744.729</w:t>
            </w:r>
          </w:p>
        </w:tc>
        <w:tc>
          <w:tcPr>
            <w:tcW w:w="935"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276.664</w:t>
            </w:r>
          </w:p>
        </w:tc>
        <w:tc>
          <w:tcPr>
            <w:tcW w:w="942" w:type="dxa"/>
            <w:tcBorders>
              <w:top w:val="nil"/>
              <w:left w:val="nil"/>
              <w:bottom w:val="single" w:sz="4" w:space="0" w:color="auto"/>
              <w:right w:val="single" w:sz="4" w:space="0" w:color="auto"/>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36,2%</w:t>
            </w:r>
          </w:p>
        </w:tc>
        <w:tc>
          <w:tcPr>
            <w:tcW w:w="935"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281.828</w:t>
            </w:r>
          </w:p>
        </w:tc>
        <w:tc>
          <w:tcPr>
            <w:tcW w:w="984" w:type="dxa"/>
            <w:tcBorders>
              <w:top w:val="nil"/>
              <w:left w:val="nil"/>
              <w:bottom w:val="single" w:sz="4" w:space="0" w:color="auto"/>
              <w:right w:val="single" w:sz="8"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19.873</w:t>
            </w:r>
          </w:p>
        </w:tc>
      </w:tr>
      <w:tr w:rsidR="00CA4EBF" w:rsidRPr="00CA4EBF" w:rsidTr="00CA4EBF">
        <w:trPr>
          <w:trHeight w:val="345"/>
          <w:jc w:val="center"/>
        </w:trPr>
        <w:tc>
          <w:tcPr>
            <w:tcW w:w="688" w:type="dxa"/>
            <w:tcBorders>
              <w:top w:val="nil"/>
              <w:left w:val="single" w:sz="8" w:space="0" w:color="auto"/>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400</w:t>
            </w:r>
          </w:p>
        </w:tc>
        <w:tc>
          <w:tcPr>
            <w:tcW w:w="2972" w:type="dxa"/>
            <w:tcBorders>
              <w:top w:val="nil"/>
              <w:left w:val="nil"/>
              <w:bottom w:val="single" w:sz="4" w:space="0" w:color="auto"/>
              <w:right w:val="single" w:sz="4" w:space="0" w:color="auto"/>
            </w:tcBorders>
            <w:shd w:val="clear" w:color="auto" w:fill="auto"/>
            <w:hideMark/>
          </w:tcPr>
          <w:p w:rsidR="00CA4EBF" w:rsidRPr="00CA4EBF" w:rsidRDefault="00CA4EBF" w:rsidP="00CA4EBF">
            <w:pPr>
              <w:spacing w:after="0" w:line="240" w:lineRule="auto"/>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Izobraževalna, strokovna in poklicna društva</w:t>
            </w:r>
          </w:p>
        </w:tc>
        <w:tc>
          <w:tcPr>
            <w:tcW w:w="900"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31</w:t>
            </w:r>
          </w:p>
        </w:tc>
        <w:tc>
          <w:tcPr>
            <w:tcW w:w="991"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0,83</w:t>
            </w:r>
          </w:p>
        </w:tc>
        <w:tc>
          <w:tcPr>
            <w:tcW w:w="1095" w:type="dxa"/>
            <w:tcBorders>
              <w:top w:val="nil"/>
              <w:left w:val="nil"/>
              <w:bottom w:val="single" w:sz="4" w:space="0" w:color="auto"/>
              <w:right w:val="nil"/>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1</w:t>
            </w:r>
          </w:p>
        </w:tc>
        <w:tc>
          <w:tcPr>
            <w:tcW w:w="960"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379.287</w:t>
            </w:r>
          </w:p>
        </w:tc>
        <w:tc>
          <w:tcPr>
            <w:tcW w:w="1018"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168.862</w:t>
            </w:r>
          </w:p>
        </w:tc>
        <w:tc>
          <w:tcPr>
            <w:tcW w:w="1092" w:type="dxa"/>
            <w:tcBorders>
              <w:top w:val="nil"/>
              <w:left w:val="nil"/>
              <w:bottom w:val="single" w:sz="4" w:space="0" w:color="auto"/>
              <w:right w:val="single" w:sz="4" w:space="0" w:color="auto"/>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5.447</w:t>
            </w:r>
          </w:p>
        </w:tc>
        <w:tc>
          <w:tcPr>
            <w:tcW w:w="968"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178.968</w:t>
            </w:r>
          </w:p>
        </w:tc>
        <w:tc>
          <w:tcPr>
            <w:tcW w:w="935"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59.627</w:t>
            </w:r>
          </w:p>
        </w:tc>
        <w:tc>
          <w:tcPr>
            <w:tcW w:w="942" w:type="dxa"/>
            <w:tcBorders>
              <w:top w:val="nil"/>
              <w:left w:val="nil"/>
              <w:bottom w:val="single" w:sz="4" w:space="0" w:color="auto"/>
              <w:right w:val="single" w:sz="4" w:space="0" w:color="auto"/>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35,3%</w:t>
            </w:r>
          </w:p>
        </w:tc>
        <w:tc>
          <w:tcPr>
            <w:tcW w:w="935"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64.233</w:t>
            </w:r>
          </w:p>
        </w:tc>
        <w:tc>
          <w:tcPr>
            <w:tcW w:w="984" w:type="dxa"/>
            <w:tcBorders>
              <w:top w:val="nil"/>
              <w:left w:val="nil"/>
              <w:bottom w:val="single" w:sz="4" w:space="0" w:color="auto"/>
              <w:right w:val="single" w:sz="8"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-10.106</w:t>
            </w:r>
          </w:p>
        </w:tc>
      </w:tr>
      <w:tr w:rsidR="00CA4EBF" w:rsidRPr="00CA4EBF" w:rsidTr="00CA4EBF">
        <w:trPr>
          <w:trHeight w:val="360"/>
          <w:jc w:val="center"/>
        </w:trPr>
        <w:tc>
          <w:tcPr>
            <w:tcW w:w="688" w:type="dxa"/>
            <w:tcBorders>
              <w:top w:val="nil"/>
              <w:left w:val="single" w:sz="8" w:space="0" w:color="auto"/>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500</w:t>
            </w:r>
          </w:p>
        </w:tc>
        <w:tc>
          <w:tcPr>
            <w:tcW w:w="2972" w:type="dxa"/>
            <w:tcBorders>
              <w:top w:val="nil"/>
              <w:left w:val="nil"/>
              <w:bottom w:val="single" w:sz="4" w:space="0" w:color="auto"/>
              <w:right w:val="single" w:sz="4" w:space="0" w:color="auto"/>
            </w:tcBorders>
            <w:shd w:val="clear" w:color="auto" w:fill="auto"/>
            <w:hideMark/>
          </w:tcPr>
          <w:p w:rsidR="00CA4EBF" w:rsidRPr="00CA4EBF" w:rsidRDefault="00CA4EBF" w:rsidP="00CA4EBF">
            <w:pPr>
              <w:spacing w:after="0" w:line="240" w:lineRule="auto"/>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Društva za gojitev, vzrejo ter varstvo živali in rastlin</w:t>
            </w:r>
          </w:p>
        </w:tc>
        <w:tc>
          <w:tcPr>
            <w:tcW w:w="900"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64</w:t>
            </w:r>
          </w:p>
        </w:tc>
        <w:tc>
          <w:tcPr>
            <w:tcW w:w="991"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1,78</w:t>
            </w:r>
          </w:p>
        </w:tc>
        <w:tc>
          <w:tcPr>
            <w:tcW w:w="1095" w:type="dxa"/>
            <w:tcBorders>
              <w:top w:val="nil"/>
              <w:left w:val="nil"/>
              <w:bottom w:val="single" w:sz="4" w:space="0" w:color="auto"/>
              <w:right w:val="nil"/>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1</w:t>
            </w:r>
          </w:p>
        </w:tc>
        <w:tc>
          <w:tcPr>
            <w:tcW w:w="960"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1.530.577</w:t>
            </w:r>
          </w:p>
        </w:tc>
        <w:tc>
          <w:tcPr>
            <w:tcW w:w="1018"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754.522</w:t>
            </w:r>
          </w:p>
        </w:tc>
        <w:tc>
          <w:tcPr>
            <w:tcW w:w="1092" w:type="dxa"/>
            <w:tcBorders>
              <w:top w:val="nil"/>
              <w:left w:val="nil"/>
              <w:bottom w:val="single" w:sz="4" w:space="0" w:color="auto"/>
              <w:right w:val="single" w:sz="4" w:space="0" w:color="auto"/>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11.789</w:t>
            </w:r>
          </w:p>
        </w:tc>
        <w:tc>
          <w:tcPr>
            <w:tcW w:w="968"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699.737</w:t>
            </w:r>
          </w:p>
        </w:tc>
        <w:tc>
          <w:tcPr>
            <w:tcW w:w="935"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366.660</w:t>
            </w:r>
          </w:p>
        </w:tc>
        <w:tc>
          <w:tcPr>
            <w:tcW w:w="942" w:type="dxa"/>
            <w:tcBorders>
              <w:top w:val="nil"/>
              <w:left w:val="nil"/>
              <w:bottom w:val="single" w:sz="4" w:space="0" w:color="auto"/>
              <w:right w:val="single" w:sz="4" w:space="0" w:color="auto"/>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48,6%</w:t>
            </w:r>
          </w:p>
        </w:tc>
        <w:tc>
          <w:tcPr>
            <w:tcW w:w="935"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384.022</w:t>
            </w:r>
          </w:p>
        </w:tc>
        <w:tc>
          <w:tcPr>
            <w:tcW w:w="984" w:type="dxa"/>
            <w:tcBorders>
              <w:top w:val="nil"/>
              <w:left w:val="nil"/>
              <w:bottom w:val="single" w:sz="4" w:space="0" w:color="auto"/>
              <w:right w:val="single" w:sz="8"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54.785</w:t>
            </w:r>
          </w:p>
        </w:tc>
      </w:tr>
      <w:tr w:rsidR="00CA4EBF" w:rsidRPr="00CA4EBF" w:rsidTr="00CA4EBF">
        <w:trPr>
          <w:trHeight w:val="360"/>
          <w:jc w:val="center"/>
        </w:trPr>
        <w:tc>
          <w:tcPr>
            <w:tcW w:w="688" w:type="dxa"/>
            <w:tcBorders>
              <w:top w:val="nil"/>
              <w:left w:val="single" w:sz="8" w:space="0" w:color="auto"/>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600</w:t>
            </w:r>
          </w:p>
        </w:tc>
        <w:tc>
          <w:tcPr>
            <w:tcW w:w="2972" w:type="dxa"/>
            <w:tcBorders>
              <w:top w:val="nil"/>
              <w:left w:val="nil"/>
              <w:bottom w:val="single" w:sz="4" w:space="0" w:color="auto"/>
              <w:right w:val="single" w:sz="4" w:space="0" w:color="auto"/>
            </w:tcBorders>
            <w:shd w:val="clear" w:color="auto" w:fill="auto"/>
            <w:hideMark/>
          </w:tcPr>
          <w:p w:rsidR="00CA4EBF" w:rsidRPr="00CA4EBF" w:rsidRDefault="00CA4EBF" w:rsidP="00CA4EBF">
            <w:pPr>
              <w:spacing w:after="0" w:line="240" w:lineRule="auto"/>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Stanovska društva (upokojenska, mladinska...)</w:t>
            </w:r>
          </w:p>
        </w:tc>
        <w:tc>
          <w:tcPr>
            <w:tcW w:w="900"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24</w:t>
            </w:r>
          </w:p>
        </w:tc>
        <w:tc>
          <w:tcPr>
            <w:tcW w:w="991"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5</w:t>
            </w:r>
          </w:p>
        </w:tc>
        <w:tc>
          <w:tcPr>
            <w:tcW w:w="1095" w:type="dxa"/>
            <w:tcBorders>
              <w:top w:val="nil"/>
              <w:left w:val="nil"/>
              <w:bottom w:val="single" w:sz="4" w:space="0" w:color="auto"/>
              <w:right w:val="nil"/>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1</w:t>
            </w:r>
          </w:p>
        </w:tc>
        <w:tc>
          <w:tcPr>
            <w:tcW w:w="960"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289.804</w:t>
            </w:r>
          </w:p>
        </w:tc>
        <w:tc>
          <w:tcPr>
            <w:tcW w:w="1018"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576.923</w:t>
            </w:r>
          </w:p>
        </w:tc>
        <w:tc>
          <w:tcPr>
            <w:tcW w:w="1092" w:type="dxa"/>
            <w:tcBorders>
              <w:top w:val="nil"/>
              <w:left w:val="nil"/>
              <w:bottom w:val="single" w:sz="4" w:space="0" w:color="auto"/>
              <w:right w:val="single" w:sz="4" w:space="0" w:color="auto"/>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24.038</w:t>
            </w:r>
          </w:p>
        </w:tc>
        <w:tc>
          <w:tcPr>
            <w:tcW w:w="968"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573.704</w:t>
            </w:r>
          </w:p>
        </w:tc>
        <w:tc>
          <w:tcPr>
            <w:tcW w:w="935"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91.645</w:t>
            </w:r>
          </w:p>
        </w:tc>
        <w:tc>
          <w:tcPr>
            <w:tcW w:w="942" w:type="dxa"/>
            <w:tcBorders>
              <w:top w:val="nil"/>
              <w:left w:val="nil"/>
              <w:bottom w:val="single" w:sz="4" w:space="0" w:color="auto"/>
              <w:right w:val="single" w:sz="4" w:space="0" w:color="auto"/>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15,9%</w:t>
            </w:r>
          </w:p>
        </w:tc>
        <w:tc>
          <w:tcPr>
            <w:tcW w:w="935"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61.355</w:t>
            </w:r>
          </w:p>
        </w:tc>
        <w:tc>
          <w:tcPr>
            <w:tcW w:w="984" w:type="dxa"/>
            <w:tcBorders>
              <w:top w:val="nil"/>
              <w:left w:val="nil"/>
              <w:bottom w:val="single" w:sz="4" w:space="0" w:color="auto"/>
              <w:right w:val="single" w:sz="8"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3.219</w:t>
            </w:r>
          </w:p>
        </w:tc>
      </w:tr>
      <w:tr w:rsidR="00CA4EBF" w:rsidRPr="00CA4EBF" w:rsidTr="00CA4EBF">
        <w:trPr>
          <w:trHeight w:val="600"/>
          <w:jc w:val="center"/>
        </w:trPr>
        <w:tc>
          <w:tcPr>
            <w:tcW w:w="688" w:type="dxa"/>
            <w:tcBorders>
              <w:top w:val="nil"/>
              <w:left w:val="single" w:sz="8" w:space="0" w:color="auto"/>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700</w:t>
            </w:r>
          </w:p>
        </w:tc>
        <w:tc>
          <w:tcPr>
            <w:tcW w:w="2972" w:type="dxa"/>
            <w:tcBorders>
              <w:top w:val="nil"/>
              <w:left w:val="nil"/>
              <w:bottom w:val="single" w:sz="4" w:space="0" w:color="auto"/>
              <w:right w:val="single" w:sz="4" w:space="0" w:color="auto"/>
            </w:tcBorders>
            <w:shd w:val="clear" w:color="auto" w:fill="auto"/>
            <w:hideMark/>
          </w:tcPr>
          <w:p w:rsidR="00CA4EBF" w:rsidRPr="00CA4EBF" w:rsidRDefault="00CA4EBF" w:rsidP="00CA4EBF">
            <w:pPr>
              <w:spacing w:after="0" w:line="240" w:lineRule="auto"/>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Društva za razvoj kraja (turistična, običaji...)</w:t>
            </w:r>
          </w:p>
        </w:tc>
        <w:tc>
          <w:tcPr>
            <w:tcW w:w="900"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38</w:t>
            </w:r>
          </w:p>
        </w:tc>
        <w:tc>
          <w:tcPr>
            <w:tcW w:w="991"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1</w:t>
            </w:r>
          </w:p>
        </w:tc>
        <w:tc>
          <w:tcPr>
            <w:tcW w:w="1095" w:type="dxa"/>
            <w:tcBorders>
              <w:top w:val="nil"/>
              <w:left w:val="nil"/>
              <w:bottom w:val="single" w:sz="4" w:space="0" w:color="auto"/>
              <w:right w:val="nil"/>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1</w:t>
            </w:r>
          </w:p>
        </w:tc>
        <w:tc>
          <w:tcPr>
            <w:tcW w:w="960"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159.543</w:t>
            </w:r>
          </w:p>
        </w:tc>
        <w:tc>
          <w:tcPr>
            <w:tcW w:w="1018"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335.289</w:t>
            </w:r>
          </w:p>
        </w:tc>
        <w:tc>
          <w:tcPr>
            <w:tcW w:w="1092" w:type="dxa"/>
            <w:tcBorders>
              <w:top w:val="nil"/>
              <w:left w:val="nil"/>
              <w:bottom w:val="single" w:sz="4" w:space="0" w:color="auto"/>
              <w:right w:val="single" w:sz="4" w:space="0" w:color="auto"/>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8.823</w:t>
            </w:r>
          </w:p>
        </w:tc>
        <w:tc>
          <w:tcPr>
            <w:tcW w:w="968"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328.703</w:t>
            </w:r>
          </w:p>
        </w:tc>
        <w:tc>
          <w:tcPr>
            <w:tcW w:w="935"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139.035</w:t>
            </w:r>
          </w:p>
        </w:tc>
        <w:tc>
          <w:tcPr>
            <w:tcW w:w="942" w:type="dxa"/>
            <w:tcBorders>
              <w:top w:val="nil"/>
              <w:left w:val="nil"/>
              <w:bottom w:val="single" w:sz="4" w:space="0" w:color="auto"/>
              <w:right w:val="single" w:sz="4" w:space="0" w:color="auto"/>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41,5%</w:t>
            </w:r>
          </w:p>
        </w:tc>
        <w:tc>
          <w:tcPr>
            <w:tcW w:w="935"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144.067</w:t>
            </w:r>
          </w:p>
        </w:tc>
        <w:tc>
          <w:tcPr>
            <w:tcW w:w="984" w:type="dxa"/>
            <w:tcBorders>
              <w:top w:val="nil"/>
              <w:left w:val="nil"/>
              <w:bottom w:val="single" w:sz="4" w:space="0" w:color="auto"/>
              <w:right w:val="single" w:sz="8"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6.586</w:t>
            </w:r>
          </w:p>
        </w:tc>
      </w:tr>
      <w:tr w:rsidR="00CA4EBF" w:rsidRPr="00CA4EBF" w:rsidTr="00CA4EBF">
        <w:trPr>
          <w:trHeight w:val="600"/>
          <w:jc w:val="center"/>
        </w:trPr>
        <w:tc>
          <w:tcPr>
            <w:tcW w:w="688" w:type="dxa"/>
            <w:tcBorders>
              <w:top w:val="nil"/>
              <w:left w:val="single" w:sz="8" w:space="0" w:color="auto"/>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800</w:t>
            </w:r>
          </w:p>
        </w:tc>
        <w:tc>
          <w:tcPr>
            <w:tcW w:w="2972" w:type="dxa"/>
            <w:tcBorders>
              <w:top w:val="nil"/>
              <w:left w:val="nil"/>
              <w:bottom w:val="single" w:sz="4" w:space="0" w:color="auto"/>
              <w:right w:val="single" w:sz="4" w:space="0" w:color="auto"/>
            </w:tcBorders>
            <w:shd w:val="clear" w:color="auto" w:fill="auto"/>
            <w:hideMark/>
          </w:tcPr>
          <w:p w:rsidR="00CA4EBF" w:rsidRPr="00CA4EBF" w:rsidRDefault="00CA4EBF" w:rsidP="00CA4EBF">
            <w:pPr>
              <w:spacing w:after="0" w:line="240" w:lineRule="auto"/>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Nacionalna in politična društva</w:t>
            </w:r>
          </w:p>
        </w:tc>
        <w:tc>
          <w:tcPr>
            <w:tcW w:w="900"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2</w:t>
            </w:r>
          </w:p>
        </w:tc>
        <w:tc>
          <w:tcPr>
            <w:tcW w:w="991"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 </w:t>
            </w:r>
          </w:p>
        </w:tc>
        <w:tc>
          <w:tcPr>
            <w:tcW w:w="1095" w:type="dxa"/>
            <w:tcBorders>
              <w:top w:val="nil"/>
              <w:left w:val="nil"/>
              <w:bottom w:val="single" w:sz="4" w:space="0" w:color="auto"/>
              <w:right w:val="nil"/>
            </w:tcBorders>
            <w:shd w:val="clear" w:color="000000" w:fill="F2F2F2"/>
            <w:noWrap/>
            <w:hideMark/>
          </w:tcPr>
          <w:p w:rsidR="00CA4EBF" w:rsidRPr="00CA4EBF" w:rsidRDefault="00CA4EBF" w:rsidP="00CA4EBF">
            <w:pPr>
              <w:spacing w:after="0" w:line="240" w:lineRule="auto"/>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 </w:t>
            </w:r>
          </w:p>
        </w:tc>
        <w:tc>
          <w:tcPr>
            <w:tcW w:w="960"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2.797</w:t>
            </w:r>
          </w:p>
        </w:tc>
        <w:tc>
          <w:tcPr>
            <w:tcW w:w="1018"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11.982</w:t>
            </w:r>
          </w:p>
        </w:tc>
        <w:tc>
          <w:tcPr>
            <w:tcW w:w="1092" w:type="dxa"/>
            <w:tcBorders>
              <w:top w:val="nil"/>
              <w:left w:val="nil"/>
              <w:bottom w:val="single" w:sz="4" w:space="0" w:color="auto"/>
              <w:right w:val="single" w:sz="4" w:space="0" w:color="auto"/>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5.991</w:t>
            </w:r>
          </w:p>
        </w:tc>
        <w:tc>
          <w:tcPr>
            <w:tcW w:w="968"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11.659</w:t>
            </w:r>
          </w:p>
        </w:tc>
        <w:tc>
          <w:tcPr>
            <w:tcW w:w="935"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 </w:t>
            </w:r>
          </w:p>
        </w:tc>
        <w:tc>
          <w:tcPr>
            <w:tcW w:w="942" w:type="dxa"/>
            <w:tcBorders>
              <w:top w:val="nil"/>
              <w:left w:val="nil"/>
              <w:bottom w:val="single" w:sz="4" w:space="0" w:color="auto"/>
              <w:right w:val="single" w:sz="4" w:space="0" w:color="auto"/>
            </w:tcBorders>
            <w:shd w:val="clear" w:color="000000" w:fill="F2F2F2"/>
            <w:noWrap/>
            <w:hideMark/>
          </w:tcPr>
          <w:p w:rsidR="00CA4EBF" w:rsidRPr="00CA4EBF" w:rsidRDefault="00CA4EBF" w:rsidP="00CA4EBF">
            <w:pPr>
              <w:spacing w:after="0" w:line="240" w:lineRule="auto"/>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 </w:t>
            </w:r>
          </w:p>
        </w:tc>
        <w:tc>
          <w:tcPr>
            <w:tcW w:w="935"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 </w:t>
            </w:r>
          </w:p>
        </w:tc>
        <w:tc>
          <w:tcPr>
            <w:tcW w:w="984" w:type="dxa"/>
            <w:tcBorders>
              <w:top w:val="nil"/>
              <w:left w:val="nil"/>
              <w:bottom w:val="single" w:sz="4" w:space="0" w:color="auto"/>
              <w:right w:val="single" w:sz="8"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323</w:t>
            </w:r>
          </w:p>
        </w:tc>
      </w:tr>
      <w:tr w:rsidR="00CA4EBF" w:rsidRPr="00CA4EBF" w:rsidTr="00CA4EBF">
        <w:trPr>
          <w:trHeight w:val="600"/>
          <w:jc w:val="center"/>
        </w:trPr>
        <w:tc>
          <w:tcPr>
            <w:tcW w:w="688" w:type="dxa"/>
            <w:tcBorders>
              <w:top w:val="nil"/>
              <w:left w:val="single" w:sz="8" w:space="0" w:color="auto"/>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900</w:t>
            </w:r>
          </w:p>
        </w:tc>
        <w:tc>
          <w:tcPr>
            <w:tcW w:w="2972" w:type="dxa"/>
            <w:tcBorders>
              <w:top w:val="nil"/>
              <w:left w:val="nil"/>
              <w:bottom w:val="single" w:sz="4" w:space="0" w:color="auto"/>
              <w:right w:val="single" w:sz="4" w:space="0" w:color="auto"/>
            </w:tcBorders>
            <w:shd w:val="clear" w:color="auto" w:fill="auto"/>
            <w:hideMark/>
          </w:tcPr>
          <w:p w:rsidR="00CA4EBF" w:rsidRPr="00CA4EBF" w:rsidRDefault="00CA4EBF" w:rsidP="00CA4EBF">
            <w:pPr>
              <w:spacing w:after="0" w:line="240" w:lineRule="auto"/>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Društva za duhovno življenje</w:t>
            </w:r>
          </w:p>
        </w:tc>
        <w:tc>
          <w:tcPr>
            <w:tcW w:w="900"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11</w:t>
            </w:r>
          </w:p>
        </w:tc>
        <w:tc>
          <w:tcPr>
            <w:tcW w:w="991"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2,5</w:t>
            </w:r>
          </w:p>
        </w:tc>
        <w:tc>
          <w:tcPr>
            <w:tcW w:w="1095" w:type="dxa"/>
            <w:tcBorders>
              <w:top w:val="nil"/>
              <w:left w:val="nil"/>
              <w:bottom w:val="single" w:sz="4" w:space="0" w:color="auto"/>
              <w:right w:val="nil"/>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2</w:t>
            </w:r>
          </w:p>
        </w:tc>
        <w:tc>
          <w:tcPr>
            <w:tcW w:w="960"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28.861</w:t>
            </w:r>
          </w:p>
        </w:tc>
        <w:tc>
          <w:tcPr>
            <w:tcW w:w="1018"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35.648</w:t>
            </w:r>
          </w:p>
        </w:tc>
        <w:tc>
          <w:tcPr>
            <w:tcW w:w="1092" w:type="dxa"/>
            <w:tcBorders>
              <w:top w:val="nil"/>
              <w:left w:val="nil"/>
              <w:bottom w:val="single" w:sz="4" w:space="0" w:color="auto"/>
              <w:right w:val="single" w:sz="4" w:space="0" w:color="auto"/>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3.241</w:t>
            </w:r>
          </w:p>
        </w:tc>
        <w:tc>
          <w:tcPr>
            <w:tcW w:w="968"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45.868</w:t>
            </w:r>
          </w:p>
        </w:tc>
        <w:tc>
          <w:tcPr>
            <w:tcW w:w="935"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12.532</w:t>
            </w:r>
          </w:p>
        </w:tc>
        <w:tc>
          <w:tcPr>
            <w:tcW w:w="942" w:type="dxa"/>
            <w:tcBorders>
              <w:top w:val="nil"/>
              <w:left w:val="nil"/>
              <w:bottom w:val="single" w:sz="4" w:space="0" w:color="auto"/>
              <w:right w:val="single" w:sz="4" w:space="0" w:color="auto"/>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35,2%</w:t>
            </w:r>
          </w:p>
        </w:tc>
        <w:tc>
          <w:tcPr>
            <w:tcW w:w="935" w:type="dxa"/>
            <w:tcBorders>
              <w:top w:val="nil"/>
              <w:left w:val="nil"/>
              <w:bottom w:val="single" w:sz="4"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16.072</w:t>
            </w:r>
          </w:p>
        </w:tc>
        <w:tc>
          <w:tcPr>
            <w:tcW w:w="984" w:type="dxa"/>
            <w:tcBorders>
              <w:top w:val="nil"/>
              <w:left w:val="nil"/>
              <w:bottom w:val="single" w:sz="4" w:space="0" w:color="auto"/>
              <w:right w:val="single" w:sz="8"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-10.220</w:t>
            </w:r>
          </w:p>
        </w:tc>
      </w:tr>
      <w:tr w:rsidR="00CA4EBF" w:rsidRPr="00CA4EBF" w:rsidTr="00CA4EBF">
        <w:trPr>
          <w:trHeight w:val="315"/>
          <w:jc w:val="center"/>
        </w:trPr>
        <w:tc>
          <w:tcPr>
            <w:tcW w:w="688" w:type="dxa"/>
            <w:tcBorders>
              <w:top w:val="nil"/>
              <w:left w:val="single" w:sz="8" w:space="0" w:color="auto"/>
              <w:bottom w:val="single" w:sz="8"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9000</w:t>
            </w:r>
          </w:p>
        </w:tc>
        <w:tc>
          <w:tcPr>
            <w:tcW w:w="2972" w:type="dxa"/>
            <w:tcBorders>
              <w:top w:val="nil"/>
              <w:left w:val="nil"/>
              <w:bottom w:val="single" w:sz="8" w:space="0" w:color="auto"/>
              <w:right w:val="single" w:sz="4" w:space="0" w:color="auto"/>
            </w:tcBorders>
            <w:shd w:val="clear" w:color="auto" w:fill="auto"/>
            <w:hideMark/>
          </w:tcPr>
          <w:p w:rsidR="00CA4EBF" w:rsidRPr="00CA4EBF" w:rsidRDefault="00CA4EBF" w:rsidP="00CA4EBF">
            <w:pPr>
              <w:spacing w:after="0" w:line="240" w:lineRule="auto"/>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Druga društva</w:t>
            </w:r>
          </w:p>
        </w:tc>
        <w:tc>
          <w:tcPr>
            <w:tcW w:w="900" w:type="dxa"/>
            <w:tcBorders>
              <w:top w:val="nil"/>
              <w:left w:val="nil"/>
              <w:bottom w:val="single" w:sz="8"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26</w:t>
            </w:r>
          </w:p>
        </w:tc>
        <w:tc>
          <w:tcPr>
            <w:tcW w:w="991" w:type="dxa"/>
            <w:tcBorders>
              <w:top w:val="nil"/>
              <w:left w:val="nil"/>
              <w:bottom w:val="single" w:sz="8" w:space="0" w:color="auto"/>
              <w:right w:val="single" w:sz="4" w:space="0" w:color="auto"/>
            </w:tcBorders>
            <w:shd w:val="clear" w:color="auto" w:fill="auto"/>
            <w:noWrap/>
            <w:hideMark/>
          </w:tcPr>
          <w:p w:rsidR="00CA4EBF" w:rsidRPr="00CA4EBF" w:rsidRDefault="00CA4EBF" w:rsidP="00CA4EBF">
            <w:pPr>
              <w:spacing w:after="0" w:line="240" w:lineRule="auto"/>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 </w:t>
            </w:r>
          </w:p>
        </w:tc>
        <w:tc>
          <w:tcPr>
            <w:tcW w:w="1095" w:type="dxa"/>
            <w:tcBorders>
              <w:top w:val="nil"/>
              <w:left w:val="nil"/>
              <w:bottom w:val="single" w:sz="8" w:space="0" w:color="auto"/>
              <w:right w:val="nil"/>
            </w:tcBorders>
            <w:shd w:val="clear" w:color="000000" w:fill="F2F2F2"/>
            <w:noWrap/>
            <w:hideMark/>
          </w:tcPr>
          <w:p w:rsidR="00CA4EBF" w:rsidRPr="00CA4EBF" w:rsidRDefault="00CA4EBF" w:rsidP="00CA4EBF">
            <w:pPr>
              <w:spacing w:after="0" w:line="240" w:lineRule="auto"/>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 </w:t>
            </w:r>
          </w:p>
        </w:tc>
        <w:tc>
          <w:tcPr>
            <w:tcW w:w="960" w:type="dxa"/>
            <w:tcBorders>
              <w:top w:val="nil"/>
              <w:left w:val="nil"/>
              <w:bottom w:val="single" w:sz="8"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43.224</w:t>
            </w:r>
          </w:p>
        </w:tc>
        <w:tc>
          <w:tcPr>
            <w:tcW w:w="1018" w:type="dxa"/>
            <w:tcBorders>
              <w:top w:val="nil"/>
              <w:left w:val="nil"/>
              <w:bottom w:val="single" w:sz="8"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46.679</w:t>
            </w:r>
          </w:p>
        </w:tc>
        <w:tc>
          <w:tcPr>
            <w:tcW w:w="1092" w:type="dxa"/>
            <w:tcBorders>
              <w:top w:val="nil"/>
              <w:left w:val="nil"/>
              <w:bottom w:val="single" w:sz="8" w:space="0" w:color="auto"/>
              <w:right w:val="single" w:sz="4" w:space="0" w:color="auto"/>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1.795</w:t>
            </w:r>
          </w:p>
        </w:tc>
        <w:tc>
          <w:tcPr>
            <w:tcW w:w="968" w:type="dxa"/>
            <w:tcBorders>
              <w:top w:val="nil"/>
              <w:left w:val="nil"/>
              <w:bottom w:val="single" w:sz="8"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43.309</w:t>
            </w:r>
          </w:p>
        </w:tc>
        <w:tc>
          <w:tcPr>
            <w:tcW w:w="935" w:type="dxa"/>
            <w:tcBorders>
              <w:top w:val="nil"/>
              <w:left w:val="nil"/>
              <w:bottom w:val="single" w:sz="8"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7.602</w:t>
            </w:r>
          </w:p>
        </w:tc>
        <w:tc>
          <w:tcPr>
            <w:tcW w:w="942" w:type="dxa"/>
            <w:tcBorders>
              <w:top w:val="nil"/>
              <w:left w:val="nil"/>
              <w:bottom w:val="single" w:sz="8" w:space="0" w:color="auto"/>
              <w:right w:val="single" w:sz="4" w:space="0" w:color="auto"/>
            </w:tcBorders>
            <w:shd w:val="clear" w:color="000000" w:fill="F2F2F2"/>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16,3%</w:t>
            </w:r>
          </w:p>
        </w:tc>
        <w:tc>
          <w:tcPr>
            <w:tcW w:w="935" w:type="dxa"/>
            <w:tcBorders>
              <w:top w:val="nil"/>
              <w:left w:val="nil"/>
              <w:bottom w:val="single" w:sz="8" w:space="0" w:color="auto"/>
              <w:right w:val="single" w:sz="4"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8.357</w:t>
            </w:r>
          </w:p>
        </w:tc>
        <w:tc>
          <w:tcPr>
            <w:tcW w:w="984" w:type="dxa"/>
            <w:tcBorders>
              <w:top w:val="nil"/>
              <w:left w:val="nil"/>
              <w:bottom w:val="single" w:sz="8" w:space="0" w:color="auto"/>
              <w:right w:val="single" w:sz="8" w:space="0" w:color="auto"/>
            </w:tcBorders>
            <w:shd w:val="clear" w:color="auto" w:fill="auto"/>
            <w:noWrap/>
            <w:hideMark/>
          </w:tcPr>
          <w:p w:rsidR="00CA4EBF" w:rsidRPr="00CA4EBF" w:rsidRDefault="00CA4EBF" w:rsidP="00CA4EBF">
            <w:pPr>
              <w:spacing w:after="0" w:line="240" w:lineRule="auto"/>
              <w:jc w:val="right"/>
              <w:rPr>
                <w:rFonts w:ascii="Calibri" w:eastAsia="Times New Roman" w:hAnsi="Calibri" w:cs="Times New Roman"/>
                <w:color w:val="000000"/>
                <w:lang w:eastAsia="sl-SI"/>
              </w:rPr>
            </w:pPr>
            <w:r w:rsidRPr="00CA4EBF">
              <w:rPr>
                <w:rFonts w:ascii="Calibri" w:eastAsia="Times New Roman" w:hAnsi="Calibri" w:cs="Times New Roman"/>
                <w:color w:val="000000"/>
                <w:lang w:eastAsia="sl-SI"/>
              </w:rPr>
              <w:t>3.370</w:t>
            </w:r>
          </w:p>
        </w:tc>
      </w:tr>
    </w:tbl>
    <w:p w:rsidR="00CA4EBF" w:rsidRDefault="00CA4EBF" w:rsidP="00CA4EBF">
      <w:pPr>
        <w:rPr>
          <w:b/>
        </w:rPr>
      </w:pPr>
    </w:p>
    <w:p w:rsidR="00CA4EBF" w:rsidRDefault="00CA4EBF" w:rsidP="00CA4EBF">
      <w:pPr>
        <w:jc w:val="center"/>
      </w:pPr>
      <w:r w:rsidRPr="00CA4EBF">
        <w:t>Tabela 1: Pregled finančnih in zaposlitvenih podatkov po področjih</w:t>
      </w:r>
    </w:p>
    <w:p w:rsidR="00AC6A1D" w:rsidRDefault="00AC6A1D" w:rsidP="00CA4EBF">
      <w:pPr>
        <w:jc w:val="center"/>
      </w:pPr>
    </w:p>
    <w:p w:rsidR="00AC6A1D" w:rsidRDefault="00AC6A1D" w:rsidP="00CA4EBF">
      <w:pPr>
        <w:jc w:val="center"/>
      </w:pPr>
    </w:p>
    <w:p w:rsidR="00AC6A1D" w:rsidRDefault="00AC6A1D" w:rsidP="00CA4EBF">
      <w:pPr>
        <w:jc w:val="center"/>
      </w:pPr>
    </w:p>
    <w:tbl>
      <w:tblPr>
        <w:tblW w:w="14568" w:type="dxa"/>
        <w:jc w:val="center"/>
        <w:tblCellMar>
          <w:left w:w="70" w:type="dxa"/>
          <w:right w:w="70" w:type="dxa"/>
        </w:tblCellMar>
        <w:tblLook w:val="04A0" w:firstRow="1" w:lastRow="0" w:firstColumn="1" w:lastColumn="0" w:noHBand="0" w:noVBand="1"/>
      </w:tblPr>
      <w:tblGrid>
        <w:gridCol w:w="1540"/>
        <w:gridCol w:w="1098"/>
        <w:gridCol w:w="980"/>
        <w:gridCol w:w="1120"/>
        <w:gridCol w:w="1120"/>
        <w:gridCol w:w="1150"/>
        <w:gridCol w:w="1080"/>
        <w:gridCol w:w="1080"/>
        <w:gridCol w:w="1080"/>
        <w:gridCol w:w="1080"/>
        <w:gridCol w:w="1080"/>
        <w:gridCol w:w="1080"/>
        <w:gridCol w:w="1080"/>
      </w:tblGrid>
      <w:tr w:rsidR="00AC6A1D" w:rsidRPr="00AC6A1D" w:rsidTr="00AC6A1D">
        <w:trPr>
          <w:trHeight w:val="1155"/>
          <w:jc w:val="center"/>
        </w:trPr>
        <w:tc>
          <w:tcPr>
            <w:tcW w:w="1540" w:type="dxa"/>
            <w:tcBorders>
              <w:top w:val="single" w:sz="8" w:space="0" w:color="auto"/>
              <w:left w:val="single" w:sz="8" w:space="0" w:color="auto"/>
              <w:bottom w:val="single" w:sz="8" w:space="0" w:color="auto"/>
              <w:right w:val="nil"/>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Občina</w:t>
            </w:r>
          </w:p>
        </w:tc>
        <w:tc>
          <w:tcPr>
            <w:tcW w:w="109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AC6A1D" w:rsidRPr="00AC6A1D" w:rsidRDefault="00AC6A1D" w:rsidP="00AC6A1D">
            <w:pPr>
              <w:spacing w:after="0" w:line="240" w:lineRule="auto"/>
              <w:rPr>
                <w:rFonts w:ascii="Calibri" w:eastAsia="Times New Roman" w:hAnsi="Calibri" w:cs="Times New Roman"/>
                <w:b/>
                <w:bCs/>
                <w:color w:val="000000"/>
                <w:sz w:val="20"/>
                <w:szCs w:val="20"/>
                <w:lang w:eastAsia="sl-SI"/>
              </w:rPr>
            </w:pPr>
            <w:r w:rsidRPr="00AC6A1D">
              <w:rPr>
                <w:rFonts w:ascii="Calibri" w:eastAsia="Times New Roman" w:hAnsi="Calibri" w:cs="Times New Roman"/>
                <w:b/>
                <w:bCs/>
                <w:color w:val="000000"/>
                <w:sz w:val="20"/>
                <w:szCs w:val="20"/>
                <w:lang w:eastAsia="sl-SI"/>
              </w:rPr>
              <w:t>Št. prebivalcev</w:t>
            </w:r>
          </w:p>
        </w:tc>
        <w:tc>
          <w:tcPr>
            <w:tcW w:w="980" w:type="dxa"/>
            <w:tcBorders>
              <w:top w:val="single" w:sz="8" w:space="0" w:color="auto"/>
              <w:left w:val="nil"/>
              <w:bottom w:val="single" w:sz="8" w:space="0" w:color="auto"/>
              <w:right w:val="single" w:sz="4" w:space="0" w:color="auto"/>
            </w:tcBorders>
            <w:shd w:val="clear" w:color="auto" w:fill="auto"/>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lang w:eastAsia="sl-SI"/>
              </w:rPr>
            </w:pPr>
            <w:r w:rsidRPr="00AC6A1D">
              <w:rPr>
                <w:rFonts w:ascii="Arial" w:eastAsia="Times New Roman" w:hAnsi="Arial" w:cs="Arial"/>
                <w:b/>
                <w:bCs/>
                <w:color w:val="000000"/>
                <w:sz w:val="16"/>
                <w:szCs w:val="16"/>
                <w:lang w:eastAsia="sl-SI"/>
              </w:rPr>
              <w:t>Št. društev</w:t>
            </w:r>
          </w:p>
        </w:tc>
        <w:tc>
          <w:tcPr>
            <w:tcW w:w="1120" w:type="dxa"/>
            <w:tcBorders>
              <w:top w:val="single" w:sz="8" w:space="0" w:color="auto"/>
              <w:left w:val="nil"/>
              <w:bottom w:val="single" w:sz="8" w:space="0" w:color="auto"/>
              <w:right w:val="single" w:sz="4" w:space="0" w:color="auto"/>
            </w:tcBorders>
            <w:shd w:val="clear" w:color="000000" w:fill="F2F2F2"/>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lang w:eastAsia="sl-SI"/>
              </w:rPr>
            </w:pPr>
            <w:r w:rsidRPr="00AC6A1D">
              <w:rPr>
                <w:rFonts w:ascii="Arial" w:eastAsia="Times New Roman" w:hAnsi="Arial" w:cs="Arial"/>
                <w:b/>
                <w:bCs/>
                <w:color w:val="000000"/>
                <w:sz w:val="16"/>
                <w:szCs w:val="16"/>
                <w:lang w:eastAsia="sl-SI"/>
              </w:rPr>
              <w:t>Prebivalcev / organizacijo</w:t>
            </w:r>
          </w:p>
        </w:tc>
        <w:tc>
          <w:tcPr>
            <w:tcW w:w="1120" w:type="dxa"/>
            <w:tcBorders>
              <w:top w:val="single" w:sz="8" w:space="0" w:color="auto"/>
              <w:left w:val="nil"/>
              <w:bottom w:val="single" w:sz="8" w:space="0" w:color="auto"/>
              <w:right w:val="single" w:sz="4" w:space="0" w:color="auto"/>
            </w:tcBorders>
            <w:shd w:val="clear" w:color="auto" w:fill="auto"/>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lang w:eastAsia="sl-SI"/>
              </w:rPr>
            </w:pPr>
            <w:r w:rsidRPr="00AC6A1D">
              <w:rPr>
                <w:rFonts w:ascii="Arial" w:eastAsia="Times New Roman" w:hAnsi="Arial" w:cs="Arial"/>
                <w:b/>
                <w:bCs/>
                <w:color w:val="000000"/>
                <w:sz w:val="16"/>
                <w:szCs w:val="16"/>
                <w:lang w:eastAsia="sl-SI"/>
              </w:rPr>
              <w:t>Število zaposlenih</w:t>
            </w:r>
          </w:p>
        </w:tc>
        <w:tc>
          <w:tcPr>
            <w:tcW w:w="1150" w:type="dxa"/>
            <w:tcBorders>
              <w:top w:val="single" w:sz="8" w:space="0" w:color="auto"/>
              <w:left w:val="nil"/>
              <w:bottom w:val="single" w:sz="8" w:space="0" w:color="auto"/>
              <w:right w:val="single" w:sz="4" w:space="0" w:color="auto"/>
            </w:tcBorders>
            <w:shd w:val="clear" w:color="auto" w:fill="auto"/>
            <w:noWrap/>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lang w:eastAsia="sl-SI"/>
              </w:rPr>
            </w:pPr>
            <w:r w:rsidRPr="00AC6A1D">
              <w:rPr>
                <w:rFonts w:ascii="Arial" w:eastAsia="Times New Roman" w:hAnsi="Arial" w:cs="Arial"/>
                <w:b/>
                <w:bCs/>
                <w:color w:val="000000"/>
                <w:sz w:val="16"/>
                <w:szCs w:val="16"/>
                <w:lang w:eastAsia="sl-SI"/>
              </w:rPr>
              <w:t>Sredstva</w:t>
            </w:r>
          </w:p>
        </w:tc>
        <w:tc>
          <w:tcPr>
            <w:tcW w:w="1080" w:type="dxa"/>
            <w:tcBorders>
              <w:top w:val="single" w:sz="8" w:space="0" w:color="auto"/>
              <w:left w:val="nil"/>
              <w:bottom w:val="single" w:sz="8" w:space="0" w:color="auto"/>
              <w:right w:val="single" w:sz="4" w:space="0" w:color="auto"/>
            </w:tcBorders>
            <w:shd w:val="clear" w:color="auto" w:fill="auto"/>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lang w:eastAsia="sl-SI"/>
              </w:rPr>
            </w:pPr>
            <w:r w:rsidRPr="00AC6A1D">
              <w:rPr>
                <w:rFonts w:ascii="Arial" w:eastAsia="Times New Roman" w:hAnsi="Arial" w:cs="Arial"/>
                <w:b/>
                <w:bCs/>
                <w:color w:val="000000"/>
                <w:sz w:val="16"/>
                <w:szCs w:val="16"/>
                <w:lang w:eastAsia="sl-SI"/>
              </w:rPr>
              <w:t>Celotni prihodki</w:t>
            </w:r>
          </w:p>
        </w:tc>
        <w:tc>
          <w:tcPr>
            <w:tcW w:w="1080" w:type="dxa"/>
            <w:tcBorders>
              <w:top w:val="single" w:sz="8" w:space="0" w:color="auto"/>
              <w:left w:val="nil"/>
              <w:bottom w:val="single" w:sz="8" w:space="0" w:color="auto"/>
              <w:right w:val="single" w:sz="4" w:space="0" w:color="auto"/>
            </w:tcBorders>
            <w:shd w:val="clear" w:color="000000" w:fill="F2F2F2"/>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lang w:eastAsia="sl-SI"/>
              </w:rPr>
            </w:pPr>
            <w:r w:rsidRPr="00AC6A1D">
              <w:rPr>
                <w:rFonts w:ascii="Arial" w:eastAsia="Times New Roman" w:hAnsi="Arial" w:cs="Arial"/>
                <w:b/>
                <w:bCs/>
                <w:color w:val="000000"/>
                <w:sz w:val="16"/>
                <w:szCs w:val="16"/>
                <w:lang w:eastAsia="sl-SI"/>
              </w:rPr>
              <w:t>Prihodki / organizacijo</w:t>
            </w:r>
          </w:p>
        </w:tc>
        <w:tc>
          <w:tcPr>
            <w:tcW w:w="1080" w:type="dxa"/>
            <w:tcBorders>
              <w:top w:val="single" w:sz="8" w:space="0" w:color="auto"/>
              <w:left w:val="nil"/>
              <w:bottom w:val="single" w:sz="8" w:space="0" w:color="auto"/>
              <w:right w:val="single" w:sz="4" w:space="0" w:color="auto"/>
            </w:tcBorders>
            <w:shd w:val="clear" w:color="auto" w:fill="auto"/>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lang w:eastAsia="sl-SI"/>
              </w:rPr>
            </w:pPr>
            <w:r w:rsidRPr="00AC6A1D">
              <w:rPr>
                <w:rFonts w:ascii="Arial" w:eastAsia="Times New Roman" w:hAnsi="Arial" w:cs="Arial"/>
                <w:b/>
                <w:bCs/>
                <w:color w:val="000000"/>
                <w:sz w:val="16"/>
                <w:szCs w:val="16"/>
                <w:lang w:eastAsia="sl-SI"/>
              </w:rPr>
              <w:t>Celotni odhodki</w:t>
            </w:r>
          </w:p>
        </w:tc>
        <w:tc>
          <w:tcPr>
            <w:tcW w:w="1080" w:type="dxa"/>
            <w:tcBorders>
              <w:top w:val="single" w:sz="8" w:space="0" w:color="auto"/>
              <w:left w:val="nil"/>
              <w:bottom w:val="single" w:sz="8" w:space="0" w:color="auto"/>
              <w:right w:val="single" w:sz="4" w:space="0" w:color="auto"/>
            </w:tcBorders>
            <w:shd w:val="clear" w:color="auto" w:fill="auto"/>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lang w:eastAsia="sl-SI"/>
              </w:rPr>
            </w:pPr>
            <w:r w:rsidRPr="00AC6A1D">
              <w:rPr>
                <w:rFonts w:ascii="Arial" w:eastAsia="Times New Roman" w:hAnsi="Arial" w:cs="Arial"/>
                <w:b/>
                <w:bCs/>
                <w:color w:val="000000"/>
                <w:sz w:val="16"/>
                <w:szCs w:val="16"/>
                <w:lang w:eastAsia="sl-SI"/>
              </w:rPr>
              <w:t>Celotni prihodki od pridobitne dejavnosti</w:t>
            </w:r>
          </w:p>
        </w:tc>
        <w:tc>
          <w:tcPr>
            <w:tcW w:w="1080" w:type="dxa"/>
            <w:tcBorders>
              <w:top w:val="single" w:sz="8" w:space="0" w:color="auto"/>
              <w:left w:val="nil"/>
              <w:bottom w:val="single" w:sz="8" w:space="0" w:color="auto"/>
              <w:right w:val="single" w:sz="4" w:space="0" w:color="auto"/>
            </w:tcBorders>
            <w:shd w:val="clear" w:color="auto" w:fill="auto"/>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lang w:eastAsia="sl-SI"/>
              </w:rPr>
            </w:pPr>
            <w:r w:rsidRPr="00AC6A1D">
              <w:rPr>
                <w:rFonts w:ascii="Arial" w:eastAsia="Times New Roman" w:hAnsi="Arial" w:cs="Arial"/>
                <w:b/>
                <w:bCs/>
                <w:color w:val="000000"/>
                <w:sz w:val="16"/>
                <w:szCs w:val="16"/>
                <w:lang w:eastAsia="sl-SI"/>
              </w:rPr>
              <w:t>Celotni odhodki od pridobitne dejavnosti</w:t>
            </w:r>
          </w:p>
        </w:tc>
        <w:tc>
          <w:tcPr>
            <w:tcW w:w="1080" w:type="dxa"/>
            <w:tcBorders>
              <w:top w:val="single" w:sz="8" w:space="0" w:color="auto"/>
              <w:left w:val="nil"/>
              <w:bottom w:val="single" w:sz="8" w:space="0" w:color="auto"/>
              <w:right w:val="single" w:sz="4" w:space="0" w:color="auto"/>
            </w:tcBorders>
            <w:shd w:val="clear" w:color="auto" w:fill="auto"/>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lang w:eastAsia="sl-SI"/>
              </w:rPr>
            </w:pPr>
            <w:r w:rsidRPr="00AC6A1D">
              <w:rPr>
                <w:rFonts w:ascii="Arial" w:eastAsia="Times New Roman" w:hAnsi="Arial" w:cs="Arial"/>
                <w:b/>
                <w:bCs/>
                <w:color w:val="000000"/>
                <w:sz w:val="16"/>
                <w:szCs w:val="16"/>
                <w:lang w:eastAsia="sl-SI"/>
              </w:rPr>
              <w:t>Delež pridobitnih prihodkov</w:t>
            </w:r>
          </w:p>
        </w:tc>
        <w:tc>
          <w:tcPr>
            <w:tcW w:w="1080" w:type="dxa"/>
            <w:tcBorders>
              <w:top w:val="single" w:sz="8" w:space="0" w:color="auto"/>
              <w:left w:val="nil"/>
              <w:bottom w:val="single" w:sz="8" w:space="0" w:color="auto"/>
              <w:right w:val="single" w:sz="8" w:space="0" w:color="auto"/>
            </w:tcBorders>
            <w:shd w:val="clear" w:color="auto" w:fill="auto"/>
            <w:vAlign w:val="bottom"/>
            <w:hideMark/>
          </w:tcPr>
          <w:p w:rsidR="00AC6A1D" w:rsidRPr="00AC6A1D" w:rsidRDefault="00AC6A1D" w:rsidP="00AC6A1D">
            <w:pPr>
              <w:spacing w:after="0" w:line="240" w:lineRule="auto"/>
              <w:jc w:val="center"/>
              <w:rPr>
                <w:rFonts w:ascii="Arial" w:eastAsia="Times New Roman" w:hAnsi="Arial" w:cs="Arial"/>
                <w:b/>
                <w:bCs/>
                <w:color w:val="000000"/>
                <w:sz w:val="16"/>
                <w:szCs w:val="16"/>
                <w:lang w:eastAsia="sl-SI"/>
              </w:rPr>
            </w:pPr>
            <w:r w:rsidRPr="00AC6A1D">
              <w:rPr>
                <w:rFonts w:ascii="Arial" w:eastAsia="Times New Roman" w:hAnsi="Arial" w:cs="Arial"/>
                <w:b/>
                <w:bCs/>
                <w:color w:val="000000"/>
                <w:sz w:val="16"/>
                <w:szCs w:val="16"/>
                <w:lang w:eastAsia="sl-SI"/>
              </w:rPr>
              <w:t>Neto čisti presežek prihodkov nad odhodki</w:t>
            </w:r>
          </w:p>
        </w:tc>
      </w:tr>
      <w:tr w:rsidR="00AC6A1D" w:rsidRPr="00AC6A1D" w:rsidTr="00AC6A1D">
        <w:trPr>
          <w:trHeight w:val="300"/>
          <w:jc w:val="center"/>
        </w:trPr>
        <w:tc>
          <w:tcPr>
            <w:tcW w:w="1540" w:type="dxa"/>
            <w:tcBorders>
              <w:top w:val="nil"/>
              <w:left w:val="single" w:sz="8" w:space="0" w:color="auto"/>
              <w:bottom w:val="single" w:sz="4" w:space="0" w:color="auto"/>
              <w:right w:val="nil"/>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Bloke</w:t>
            </w:r>
          </w:p>
        </w:tc>
        <w:tc>
          <w:tcPr>
            <w:tcW w:w="1098" w:type="dxa"/>
            <w:tcBorders>
              <w:top w:val="nil"/>
              <w:left w:val="single" w:sz="8" w:space="0" w:color="auto"/>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1518</w:t>
            </w:r>
          </w:p>
        </w:tc>
        <w:tc>
          <w:tcPr>
            <w:tcW w:w="9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20</w:t>
            </w:r>
          </w:p>
        </w:tc>
        <w:tc>
          <w:tcPr>
            <w:tcW w:w="112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76</w:t>
            </w:r>
          </w:p>
        </w:tc>
        <w:tc>
          <w:tcPr>
            <w:tcW w:w="112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0,0</w:t>
            </w:r>
          </w:p>
        </w:tc>
        <w:tc>
          <w:tcPr>
            <w:tcW w:w="115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462.268</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176.581</w:t>
            </w:r>
          </w:p>
        </w:tc>
        <w:tc>
          <w:tcPr>
            <w:tcW w:w="108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8.829</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170.772</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30.395</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26.659</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17,2%</w:t>
            </w:r>
          </w:p>
        </w:tc>
        <w:tc>
          <w:tcPr>
            <w:tcW w:w="1080" w:type="dxa"/>
            <w:tcBorders>
              <w:top w:val="nil"/>
              <w:left w:val="nil"/>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5.809</w:t>
            </w:r>
          </w:p>
        </w:tc>
      </w:tr>
      <w:tr w:rsidR="00AC6A1D" w:rsidRPr="00AC6A1D" w:rsidTr="00AC6A1D">
        <w:trPr>
          <w:trHeight w:val="300"/>
          <w:jc w:val="center"/>
        </w:trPr>
        <w:tc>
          <w:tcPr>
            <w:tcW w:w="1540" w:type="dxa"/>
            <w:tcBorders>
              <w:top w:val="nil"/>
              <w:left w:val="single" w:sz="8" w:space="0" w:color="auto"/>
              <w:bottom w:val="single" w:sz="4" w:space="0" w:color="auto"/>
              <w:right w:val="nil"/>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Cerknica</w:t>
            </w:r>
          </w:p>
        </w:tc>
        <w:tc>
          <w:tcPr>
            <w:tcW w:w="1098" w:type="dxa"/>
            <w:tcBorders>
              <w:top w:val="nil"/>
              <w:left w:val="single" w:sz="8" w:space="0" w:color="auto"/>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11419</w:t>
            </w:r>
          </w:p>
        </w:tc>
        <w:tc>
          <w:tcPr>
            <w:tcW w:w="9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134</w:t>
            </w:r>
          </w:p>
        </w:tc>
        <w:tc>
          <w:tcPr>
            <w:tcW w:w="112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85</w:t>
            </w:r>
          </w:p>
        </w:tc>
        <w:tc>
          <w:tcPr>
            <w:tcW w:w="112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9,9</w:t>
            </w:r>
          </w:p>
        </w:tc>
        <w:tc>
          <w:tcPr>
            <w:tcW w:w="115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3.029.080</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2.454.804</w:t>
            </w:r>
          </w:p>
        </w:tc>
        <w:tc>
          <w:tcPr>
            <w:tcW w:w="108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18.319</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2.247.534</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686.982</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648.267</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28,0%</w:t>
            </w:r>
          </w:p>
        </w:tc>
        <w:tc>
          <w:tcPr>
            <w:tcW w:w="1080" w:type="dxa"/>
            <w:tcBorders>
              <w:top w:val="nil"/>
              <w:left w:val="nil"/>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207.270</w:t>
            </w:r>
          </w:p>
        </w:tc>
      </w:tr>
      <w:tr w:rsidR="00AC6A1D" w:rsidRPr="00AC6A1D" w:rsidTr="00AC6A1D">
        <w:trPr>
          <w:trHeight w:val="300"/>
          <w:jc w:val="center"/>
        </w:trPr>
        <w:tc>
          <w:tcPr>
            <w:tcW w:w="1540" w:type="dxa"/>
            <w:tcBorders>
              <w:top w:val="nil"/>
              <w:left w:val="single" w:sz="8" w:space="0" w:color="auto"/>
              <w:bottom w:val="single" w:sz="4" w:space="0" w:color="auto"/>
              <w:right w:val="nil"/>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Ilirska Bistrica</w:t>
            </w:r>
          </w:p>
        </w:tc>
        <w:tc>
          <w:tcPr>
            <w:tcW w:w="1098" w:type="dxa"/>
            <w:tcBorders>
              <w:top w:val="nil"/>
              <w:left w:val="single" w:sz="8" w:space="0" w:color="auto"/>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13667</w:t>
            </w:r>
          </w:p>
        </w:tc>
        <w:tc>
          <w:tcPr>
            <w:tcW w:w="9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134</w:t>
            </w:r>
          </w:p>
        </w:tc>
        <w:tc>
          <w:tcPr>
            <w:tcW w:w="112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102</w:t>
            </w:r>
          </w:p>
        </w:tc>
        <w:tc>
          <w:tcPr>
            <w:tcW w:w="112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9,4</w:t>
            </w:r>
          </w:p>
        </w:tc>
        <w:tc>
          <w:tcPr>
            <w:tcW w:w="115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3.432.699</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1.727.790</w:t>
            </w:r>
          </w:p>
        </w:tc>
        <w:tc>
          <w:tcPr>
            <w:tcW w:w="108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12.894</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1.698.149</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409.641</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420.497</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23,7%</w:t>
            </w:r>
          </w:p>
        </w:tc>
        <w:tc>
          <w:tcPr>
            <w:tcW w:w="1080" w:type="dxa"/>
            <w:tcBorders>
              <w:top w:val="nil"/>
              <w:left w:val="nil"/>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29.641</w:t>
            </w:r>
          </w:p>
        </w:tc>
      </w:tr>
      <w:tr w:rsidR="00AC6A1D" w:rsidRPr="00AC6A1D" w:rsidTr="00AC6A1D">
        <w:trPr>
          <w:trHeight w:val="300"/>
          <w:jc w:val="center"/>
        </w:trPr>
        <w:tc>
          <w:tcPr>
            <w:tcW w:w="1540" w:type="dxa"/>
            <w:tcBorders>
              <w:top w:val="nil"/>
              <w:left w:val="single" w:sz="8" w:space="0" w:color="auto"/>
              <w:bottom w:val="single" w:sz="4" w:space="0" w:color="auto"/>
              <w:right w:val="nil"/>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Loška dolina</w:t>
            </w:r>
          </w:p>
        </w:tc>
        <w:tc>
          <w:tcPr>
            <w:tcW w:w="1098" w:type="dxa"/>
            <w:tcBorders>
              <w:top w:val="nil"/>
              <w:left w:val="single" w:sz="8" w:space="0" w:color="auto"/>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3867</w:t>
            </w:r>
          </w:p>
        </w:tc>
        <w:tc>
          <w:tcPr>
            <w:tcW w:w="9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40</w:t>
            </w:r>
          </w:p>
        </w:tc>
        <w:tc>
          <w:tcPr>
            <w:tcW w:w="112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97</w:t>
            </w:r>
          </w:p>
        </w:tc>
        <w:tc>
          <w:tcPr>
            <w:tcW w:w="112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0,0</w:t>
            </w:r>
          </w:p>
        </w:tc>
        <w:tc>
          <w:tcPr>
            <w:tcW w:w="115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473.552</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494.854</w:t>
            </w:r>
          </w:p>
        </w:tc>
        <w:tc>
          <w:tcPr>
            <w:tcW w:w="108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12.371</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495.899</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91.030</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83.778</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18,4%</w:t>
            </w:r>
          </w:p>
        </w:tc>
        <w:tc>
          <w:tcPr>
            <w:tcW w:w="1080" w:type="dxa"/>
            <w:tcBorders>
              <w:top w:val="nil"/>
              <w:left w:val="nil"/>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-1.045</w:t>
            </w:r>
          </w:p>
        </w:tc>
      </w:tr>
      <w:tr w:rsidR="00AC6A1D" w:rsidRPr="00AC6A1D" w:rsidTr="00AC6A1D">
        <w:trPr>
          <w:trHeight w:val="300"/>
          <w:jc w:val="center"/>
        </w:trPr>
        <w:tc>
          <w:tcPr>
            <w:tcW w:w="1540" w:type="dxa"/>
            <w:tcBorders>
              <w:top w:val="nil"/>
              <w:left w:val="single" w:sz="8" w:space="0" w:color="auto"/>
              <w:bottom w:val="single" w:sz="4" w:space="0" w:color="auto"/>
              <w:right w:val="nil"/>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Pivka</w:t>
            </w:r>
          </w:p>
        </w:tc>
        <w:tc>
          <w:tcPr>
            <w:tcW w:w="1098" w:type="dxa"/>
            <w:tcBorders>
              <w:top w:val="nil"/>
              <w:left w:val="single" w:sz="8" w:space="0" w:color="auto"/>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6054</w:t>
            </w:r>
          </w:p>
        </w:tc>
        <w:tc>
          <w:tcPr>
            <w:tcW w:w="9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59</w:t>
            </w:r>
          </w:p>
        </w:tc>
        <w:tc>
          <w:tcPr>
            <w:tcW w:w="112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103</w:t>
            </w:r>
          </w:p>
        </w:tc>
        <w:tc>
          <w:tcPr>
            <w:tcW w:w="112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2,0</w:t>
            </w:r>
          </w:p>
        </w:tc>
        <w:tc>
          <w:tcPr>
            <w:tcW w:w="115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1.140.650</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482.077</w:t>
            </w:r>
          </w:p>
        </w:tc>
        <w:tc>
          <w:tcPr>
            <w:tcW w:w="108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8.171</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458.251</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112.354</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123.598</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23,3%</w:t>
            </w:r>
          </w:p>
        </w:tc>
        <w:tc>
          <w:tcPr>
            <w:tcW w:w="1080" w:type="dxa"/>
            <w:tcBorders>
              <w:top w:val="nil"/>
              <w:left w:val="nil"/>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23.826</w:t>
            </w:r>
          </w:p>
        </w:tc>
      </w:tr>
      <w:tr w:rsidR="00AC6A1D" w:rsidRPr="00AC6A1D" w:rsidTr="00AC6A1D">
        <w:trPr>
          <w:trHeight w:val="315"/>
          <w:jc w:val="center"/>
        </w:trPr>
        <w:tc>
          <w:tcPr>
            <w:tcW w:w="1540" w:type="dxa"/>
            <w:tcBorders>
              <w:top w:val="nil"/>
              <w:left w:val="single" w:sz="8" w:space="0" w:color="auto"/>
              <w:bottom w:val="nil"/>
              <w:right w:val="nil"/>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Postojna</w:t>
            </w:r>
          </w:p>
        </w:tc>
        <w:tc>
          <w:tcPr>
            <w:tcW w:w="1098" w:type="dxa"/>
            <w:tcBorders>
              <w:top w:val="nil"/>
              <w:left w:val="single" w:sz="8" w:space="0" w:color="auto"/>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16026</w:t>
            </w:r>
          </w:p>
        </w:tc>
        <w:tc>
          <w:tcPr>
            <w:tcW w:w="98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168</w:t>
            </w:r>
          </w:p>
        </w:tc>
        <w:tc>
          <w:tcPr>
            <w:tcW w:w="1120" w:type="dxa"/>
            <w:tcBorders>
              <w:top w:val="nil"/>
              <w:left w:val="nil"/>
              <w:bottom w:val="nil"/>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95</w:t>
            </w:r>
          </w:p>
        </w:tc>
        <w:tc>
          <w:tcPr>
            <w:tcW w:w="112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26,8</w:t>
            </w:r>
          </w:p>
        </w:tc>
        <w:tc>
          <w:tcPr>
            <w:tcW w:w="115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3.801.231</w:t>
            </w:r>
          </w:p>
        </w:tc>
        <w:tc>
          <w:tcPr>
            <w:tcW w:w="108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3.071.139</w:t>
            </w:r>
          </w:p>
        </w:tc>
        <w:tc>
          <w:tcPr>
            <w:tcW w:w="1080" w:type="dxa"/>
            <w:tcBorders>
              <w:top w:val="nil"/>
              <w:left w:val="nil"/>
              <w:bottom w:val="nil"/>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18.281</w:t>
            </w:r>
          </w:p>
        </w:tc>
        <w:tc>
          <w:tcPr>
            <w:tcW w:w="108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3.048.845</w:t>
            </w:r>
          </w:p>
        </w:tc>
        <w:tc>
          <w:tcPr>
            <w:tcW w:w="108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952.345</w:t>
            </w:r>
          </w:p>
        </w:tc>
        <w:tc>
          <w:tcPr>
            <w:tcW w:w="108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959.430</w:t>
            </w:r>
          </w:p>
        </w:tc>
        <w:tc>
          <w:tcPr>
            <w:tcW w:w="108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31,0%</w:t>
            </w:r>
          </w:p>
        </w:tc>
        <w:tc>
          <w:tcPr>
            <w:tcW w:w="1080" w:type="dxa"/>
            <w:tcBorders>
              <w:top w:val="nil"/>
              <w:left w:val="nil"/>
              <w:bottom w:val="nil"/>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22.294</w:t>
            </w:r>
          </w:p>
        </w:tc>
      </w:tr>
      <w:tr w:rsidR="00AC6A1D" w:rsidRPr="00AC6A1D" w:rsidTr="00AC6A1D">
        <w:trPr>
          <w:trHeight w:val="315"/>
          <w:jc w:val="center"/>
        </w:trPr>
        <w:tc>
          <w:tcPr>
            <w:tcW w:w="1540" w:type="dxa"/>
            <w:tcBorders>
              <w:top w:val="single" w:sz="8" w:space="0" w:color="auto"/>
              <w:left w:val="single" w:sz="8" w:space="0" w:color="auto"/>
              <w:bottom w:val="single" w:sz="8" w:space="0" w:color="auto"/>
              <w:right w:val="nil"/>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SKUPAJ</w:t>
            </w:r>
          </w:p>
        </w:tc>
        <w:tc>
          <w:tcPr>
            <w:tcW w:w="109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52551</w:t>
            </w:r>
          </w:p>
        </w:tc>
        <w:tc>
          <w:tcPr>
            <w:tcW w:w="98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555</w:t>
            </w:r>
          </w:p>
        </w:tc>
        <w:tc>
          <w:tcPr>
            <w:tcW w:w="1120" w:type="dxa"/>
            <w:tcBorders>
              <w:top w:val="single" w:sz="8" w:space="0" w:color="auto"/>
              <w:left w:val="nil"/>
              <w:bottom w:val="single" w:sz="8"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95</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48,1</w:t>
            </w:r>
          </w:p>
        </w:tc>
        <w:tc>
          <w:tcPr>
            <w:tcW w:w="115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12.339.480</w:t>
            </w:r>
          </w:p>
        </w:tc>
        <w:tc>
          <w:tcPr>
            <w:tcW w:w="108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8.407.245</w:t>
            </w:r>
          </w:p>
        </w:tc>
        <w:tc>
          <w:tcPr>
            <w:tcW w:w="1080" w:type="dxa"/>
            <w:tcBorders>
              <w:top w:val="single" w:sz="8" w:space="0" w:color="auto"/>
              <w:left w:val="nil"/>
              <w:bottom w:val="single" w:sz="8"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15.148</w:t>
            </w:r>
          </w:p>
        </w:tc>
        <w:tc>
          <w:tcPr>
            <w:tcW w:w="108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8.119.450</w:t>
            </w:r>
          </w:p>
        </w:tc>
        <w:tc>
          <w:tcPr>
            <w:tcW w:w="108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2.282.747</w:t>
            </w:r>
          </w:p>
        </w:tc>
        <w:tc>
          <w:tcPr>
            <w:tcW w:w="108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2.262.229</w:t>
            </w:r>
          </w:p>
        </w:tc>
        <w:tc>
          <w:tcPr>
            <w:tcW w:w="108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27,2%</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287.795</w:t>
            </w:r>
          </w:p>
        </w:tc>
      </w:tr>
    </w:tbl>
    <w:p w:rsidR="00AC6A1D" w:rsidRDefault="00AC6A1D" w:rsidP="00AC6A1D">
      <w:pPr>
        <w:jc w:val="center"/>
      </w:pPr>
      <w:r>
        <w:br/>
        <w:t>Tabela 2</w:t>
      </w:r>
      <w:r w:rsidRPr="00CA4EBF">
        <w:t xml:space="preserve">: </w:t>
      </w:r>
      <w:r>
        <w:t xml:space="preserve">DRUŠTVA - </w:t>
      </w:r>
      <w:r w:rsidRPr="00CA4EBF">
        <w:t xml:space="preserve">Pregled finančnih in zaposlitvenih </w:t>
      </w:r>
      <w:r>
        <w:t>podatkov po občinah</w:t>
      </w:r>
    </w:p>
    <w:tbl>
      <w:tblPr>
        <w:tblW w:w="13418" w:type="dxa"/>
        <w:jc w:val="center"/>
        <w:tblCellMar>
          <w:left w:w="70" w:type="dxa"/>
          <w:right w:w="70" w:type="dxa"/>
        </w:tblCellMar>
        <w:tblLook w:val="04A0" w:firstRow="1" w:lastRow="0" w:firstColumn="1" w:lastColumn="0" w:noHBand="0" w:noVBand="1"/>
      </w:tblPr>
      <w:tblGrid>
        <w:gridCol w:w="1540"/>
        <w:gridCol w:w="1098"/>
        <w:gridCol w:w="980"/>
        <w:gridCol w:w="1120"/>
        <w:gridCol w:w="1120"/>
        <w:gridCol w:w="1080"/>
        <w:gridCol w:w="1080"/>
        <w:gridCol w:w="1080"/>
        <w:gridCol w:w="1080"/>
        <w:gridCol w:w="1080"/>
        <w:gridCol w:w="1080"/>
        <w:gridCol w:w="1080"/>
      </w:tblGrid>
      <w:tr w:rsidR="00AC6A1D" w:rsidRPr="00AC6A1D" w:rsidTr="00AC6A1D">
        <w:trPr>
          <w:trHeight w:val="1155"/>
          <w:jc w:val="center"/>
        </w:trPr>
        <w:tc>
          <w:tcPr>
            <w:tcW w:w="1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Občina</w:t>
            </w:r>
          </w:p>
        </w:tc>
        <w:tc>
          <w:tcPr>
            <w:tcW w:w="1098" w:type="dxa"/>
            <w:tcBorders>
              <w:top w:val="single" w:sz="8" w:space="0" w:color="auto"/>
              <w:left w:val="nil"/>
              <w:bottom w:val="single" w:sz="8" w:space="0" w:color="auto"/>
              <w:right w:val="single" w:sz="4" w:space="0" w:color="auto"/>
            </w:tcBorders>
            <w:shd w:val="clear" w:color="auto" w:fill="auto"/>
            <w:vAlign w:val="bottom"/>
            <w:hideMark/>
          </w:tcPr>
          <w:p w:rsidR="00AC6A1D" w:rsidRPr="00AC6A1D" w:rsidRDefault="00AC6A1D" w:rsidP="00AC6A1D">
            <w:pPr>
              <w:spacing w:after="0" w:line="240" w:lineRule="auto"/>
              <w:rPr>
                <w:rFonts w:ascii="Calibri" w:eastAsia="Times New Roman" w:hAnsi="Calibri" w:cs="Times New Roman"/>
                <w:b/>
                <w:bCs/>
                <w:color w:val="000000"/>
                <w:sz w:val="20"/>
                <w:szCs w:val="20"/>
                <w:lang w:eastAsia="sl-SI"/>
              </w:rPr>
            </w:pPr>
            <w:r w:rsidRPr="00AC6A1D">
              <w:rPr>
                <w:rFonts w:ascii="Calibri" w:eastAsia="Times New Roman" w:hAnsi="Calibri" w:cs="Times New Roman"/>
                <w:b/>
                <w:bCs/>
                <w:color w:val="000000"/>
                <w:sz w:val="20"/>
                <w:szCs w:val="20"/>
                <w:lang w:eastAsia="sl-SI"/>
              </w:rPr>
              <w:t>Št. prebivalcev</w:t>
            </w:r>
          </w:p>
        </w:tc>
        <w:tc>
          <w:tcPr>
            <w:tcW w:w="980" w:type="dxa"/>
            <w:tcBorders>
              <w:top w:val="single" w:sz="8" w:space="0" w:color="auto"/>
              <w:left w:val="nil"/>
              <w:bottom w:val="single" w:sz="8" w:space="0" w:color="auto"/>
              <w:right w:val="single" w:sz="4" w:space="0" w:color="auto"/>
            </w:tcBorders>
            <w:shd w:val="clear" w:color="auto" w:fill="auto"/>
            <w:vAlign w:val="bottom"/>
            <w:hideMark/>
          </w:tcPr>
          <w:p w:rsidR="00AC6A1D" w:rsidRPr="00AC6A1D" w:rsidRDefault="00AC6A1D" w:rsidP="00AC6A1D">
            <w:pPr>
              <w:spacing w:after="0" w:line="240" w:lineRule="auto"/>
              <w:jc w:val="center"/>
              <w:rPr>
                <w:rFonts w:ascii="Arial" w:eastAsia="Times New Roman" w:hAnsi="Arial" w:cs="Arial"/>
                <w:b/>
                <w:bCs/>
                <w:color w:val="000000"/>
                <w:sz w:val="16"/>
                <w:szCs w:val="16"/>
                <w:lang w:eastAsia="sl-SI"/>
              </w:rPr>
            </w:pPr>
            <w:r w:rsidRPr="00AC6A1D">
              <w:rPr>
                <w:rFonts w:ascii="Arial" w:eastAsia="Times New Roman" w:hAnsi="Arial" w:cs="Arial"/>
                <w:b/>
                <w:bCs/>
                <w:color w:val="000000"/>
                <w:sz w:val="16"/>
                <w:szCs w:val="16"/>
                <w:lang w:eastAsia="sl-SI"/>
              </w:rPr>
              <w:t>Št. organizacij</w:t>
            </w:r>
          </w:p>
        </w:tc>
        <w:tc>
          <w:tcPr>
            <w:tcW w:w="1120" w:type="dxa"/>
            <w:tcBorders>
              <w:top w:val="single" w:sz="8" w:space="0" w:color="auto"/>
              <w:left w:val="nil"/>
              <w:bottom w:val="single" w:sz="8" w:space="0" w:color="auto"/>
              <w:right w:val="single" w:sz="4" w:space="0" w:color="auto"/>
            </w:tcBorders>
            <w:shd w:val="clear" w:color="000000" w:fill="F2F2F2"/>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lang w:eastAsia="sl-SI"/>
              </w:rPr>
            </w:pPr>
            <w:r w:rsidRPr="00AC6A1D">
              <w:rPr>
                <w:rFonts w:ascii="Arial" w:eastAsia="Times New Roman" w:hAnsi="Arial" w:cs="Arial"/>
                <w:b/>
                <w:bCs/>
                <w:color w:val="000000"/>
                <w:sz w:val="16"/>
                <w:szCs w:val="16"/>
                <w:lang w:eastAsia="sl-SI"/>
              </w:rPr>
              <w:t>Prebivalcev / organizacijo</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AC6A1D" w:rsidRPr="00AC6A1D" w:rsidRDefault="00AC6A1D" w:rsidP="00AC6A1D">
            <w:pPr>
              <w:spacing w:after="0" w:line="240" w:lineRule="auto"/>
              <w:jc w:val="center"/>
              <w:rPr>
                <w:rFonts w:ascii="Arial" w:eastAsia="Times New Roman" w:hAnsi="Arial" w:cs="Arial"/>
                <w:b/>
                <w:bCs/>
                <w:color w:val="000000"/>
                <w:sz w:val="16"/>
                <w:szCs w:val="16"/>
                <w:lang w:eastAsia="sl-SI"/>
              </w:rPr>
            </w:pPr>
            <w:r w:rsidRPr="00AC6A1D">
              <w:rPr>
                <w:rFonts w:ascii="Arial" w:eastAsia="Times New Roman" w:hAnsi="Arial" w:cs="Arial"/>
                <w:b/>
                <w:bCs/>
                <w:color w:val="000000"/>
                <w:sz w:val="16"/>
                <w:szCs w:val="16"/>
                <w:lang w:eastAsia="sl-SI"/>
              </w:rPr>
              <w:t>Število zaposlenih</w:t>
            </w:r>
          </w:p>
        </w:tc>
        <w:tc>
          <w:tcPr>
            <w:tcW w:w="1080" w:type="dxa"/>
            <w:tcBorders>
              <w:top w:val="single" w:sz="8" w:space="0" w:color="auto"/>
              <w:left w:val="nil"/>
              <w:bottom w:val="single" w:sz="8" w:space="0" w:color="auto"/>
              <w:right w:val="single" w:sz="4" w:space="0" w:color="auto"/>
            </w:tcBorders>
            <w:shd w:val="clear" w:color="auto" w:fill="auto"/>
            <w:vAlign w:val="bottom"/>
            <w:hideMark/>
          </w:tcPr>
          <w:p w:rsidR="00AC6A1D" w:rsidRPr="00AC6A1D" w:rsidRDefault="00AC6A1D" w:rsidP="00AC6A1D">
            <w:pPr>
              <w:spacing w:after="0" w:line="240" w:lineRule="auto"/>
              <w:jc w:val="center"/>
              <w:rPr>
                <w:rFonts w:ascii="Arial" w:eastAsia="Times New Roman" w:hAnsi="Arial" w:cs="Arial"/>
                <w:b/>
                <w:bCs/>
                <w:color w:val="000000"/>
                <w:sz w:val="16"/>
                <w:szCs w:val="16"/>
                <w:lang w:eastAsia="sl-SI"/>
              </w:rPr>
            </w:pPr>
            <w:r w:rsidRPr="00AC6A1D">
              <w:rPr>
                <w:rFonts w:ascii="Arial" w:eastAsia="Times New Roman" w:hAnsi="Arial" w:cs="Arial"/>
                <w:b/>
                <w:bCs/>
                <w:color w:val="000000"/>
                <w:sz w:val="16"/>
                <w:szCs w:val="16"/>
                <w:lang w:eastAsia="sl-SI"/>
              </w:rPr>
              <w:t>Sredstva</w:t>
            </w:r>
          </w:p>
        </w:tc>
        <w:tc>
          <w:tcPr>
            <w:tcW w:w="1080" w:type="dxa"/>
            <w:tcBorders>
              <w:top w:val="single" w:sz="8" w:space="0" w:color="auto"/>
              <w:left w:val="nil"/>
              <w:bottom w:val="single" w:sz="8" w:space="0" w:color="auto"/>
              <w:right w:val="single" w:sz="4" w:space="0" w:color="auto"/>
            </w:tcBorders>
            <w:shd w:val="clear" w:color="auto" w:fill="auto"/>
            <w:vAlign w:val="bottom"/>
            <w:hideMark/>
          </w:tcPr>
          <w:p w:rsidR="00AC6A1D" w:rsidRPr="00AC6A1D" w:rsidRDefault="00AC6A1D" w:rsidP="00AC6A1D">
            <w:pPr>
              <w:spacing w:after="0" w:line="240" w:lineRule="auto"/>
              <w:jc w:val="center"/>
              <w:rPr>
                <w:rFonts w:ascii="Arial" w:eastAsia="Times New Roman" w:hAnsi="Arial" w:cs="Arial"/>
                <w:b/>
                <w:bCs/>
                <w:color w:val="000000"/>
                <w:sz w:val="16"/>
                <w:szCs w:val="16"/>
                <w:lang w:eastAsia="sl-SI"/>
              </w:rPr>
            </w:pPr>
            <w:r w:rsidRPr="00AC6A1D">
              <w:rPr>
                <w:rFonts w:ascii="Arial" w:eastAsia="Times New Roman" w:hAnsi="Arial" w:cs="Arial"/>
                <w:b/>
                <w:bCs/>
                <w:color w:val="000000"/>
                <w:sz w:val="16"/>
                <w:szCs w:val="16"/>
                <w:lang w:eastAsia="sl-SI"/>
              </w:rPr>
              <w:t>Celotni prihodki</w:t>
            </w:r>
          </w:p>
        </w:tc>
        <w:tc>
          <w:tcPr>
            <w:tcW w:w="1080" w:type="dxa"/>
            <w:tcBorders>
              <w:top w:val="single" w:sz="8" w:space="0" w:color="auto"/>
              <w:left w:val="nil"/>
              <w:bottom w:val="single" w:sz="8" w:space="0" w:color="auto"/>
              <w:right w:val="single" w:sz="4" w:space="0" w:color="auto"/>
            </w:tcBorders>
            <w:shd w:val="clear" w:color="000000" w:fill="F2F2F2"/>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lang w:eastAsia="sl-SI"/>
              </w:rPr>
            </w:pPr>
            <w:r w:rsidRPr="00AC6A1D">
              <w:rPr>
                <w:rFonts w:ascii="Arial" w:eastAsia="Times New Roman" w:hAnsi="Arial" w:cs="Arial"/>
                <w:b/>
                <w:bCs/>
                <w:color w:val="000000"/>
                <w:sz w:val="16"/>
                <w:szCs w:val="16"/>
                <w:lang w:eastAsia="sl-SI"/>
              </w:rPr>
              <w:t>Prihodki / organizacijo</w:t>
            </w:r>
          </w:p>
        </w:tc>
        <w:tc>
          <w:tcPr>
            <w:tcW w:w="1080" w:type="dxa"/>
            <w:tcBorders>
              <w:top w:val="single" w:sz="8" w:space="0" w:color="auto"/>
              <w:left w:val="nil"/>
              <w:bottom w:val="single" w:sz="8" w:space="0" w:color="auto"/>
              <w:right w:val="single" w:sz="4" w:space="0" w:color="auto"/>
            </w:tcBorders>
            <w:shd w:val="clear" w:color="auto" w:fill="auto"/>
            <w:vAlign w:val="bottom"/>
            <w:hideMark/>
          </w:tcPr>
          <w:p w:rsidR="00AC6A1D" w:rsidRPr="00AC6A1D" w:rsidRDefault="00AC6A1D" w:rsidP="00AC6A1D">
            <w:pPr>
              <w:spacing w:after="0" w:line="240" w:lineRule="auto"/>
              <w:jc w:val="center"/>
              <w:rPr>
                <w:rFonts w:ascii="Arial" w:eastAsia="Times New Roman" w:hAnsi="Arial" w:cs="Arial"/>
                <w:b/>
                <w:bCs/>
                <w:color w:val="000000"/>
                <w:sz w:val="16"/>
                <w:szCs w:val="16"/>
                <w:lang w:eastAsia="sl-SI"/>
              </w:rPr>
            </w:pPr>
            <w:r w:rsidRPr="00AC6A1D">
              <w:rPr>
                <w:rFonts w:ascii="Arial" w:eastAsia="Times New Roman" w:hAnsi="Arial" w:cs="Arial"/>
                <w:b/>
                <w:bCs/>
                <w:color w:val="000000"/>
                <w:sz w:val="16"/>
                <w:szCs w:val="16"/>
                <w:lang w:eastAsia="sl-SI"/>
              </w:rPr>
              <w:t>Celotni odhodki</w:t>
            </w:r>
          </w:p>
        </w:tc>
        <w:tc>
          <w:tcPr>
            <w:tcW w:w="1080" w:type="dxa"/>
            <w:tcBorders>
              <w:top w:val="single" w:sz="8" w:space="0" w:color="auto"/>
              <w:left w:val="nil"/>
              <w:bottom w:val="single" w:sz="8" w:space="0" w:color="auto"/>
              <w:right w:val="single" w:sz="4" w:space="0" w:color="auto"/>
            </w:tcBorders>
            <w:shd w:val="clear" w:color="auto" w:fill="auto"/>
            <w:vAlign w:val="bottom"/>
            <w:hideMark/>
          </w:tcPr>
          <w:p w:rsidR="00AC6A1D" w:rsidRPr="00AC6A1D" w:rsidRDefault="00AC6A1D" w:rsidP="00AC6A1D">
            <w:pPr>
              <w:spacing w:after="0" w:line="240" w:lineRule="auto"/>
              <w:jc w:val="center"/>
              <w:rPr>
                <w:rFonts w:ascii="Arial" w:eastAsia="Times New Roman" w:hAnsi="Arial" w:cs="Arial"/>
                <w:b/>
                <w:bCs/>
                <w:color w:val="000000"/>
                <w:sz w:val="16"/>
                <w:szCs w:val="16"/>
                <w:lang w:eastAsia="sl-SI"/>
              </w:rPr>
            </w:pPr>
            <w:r w:rsidRPr="00AC6A1D">
              <w:rPr>
                <w:rFonts w:ascii="Arial" w:eastAsia="Times New Roman" w:hAnsi="Arial" w:cs="Arial"/>
                <w:b/>
                <w:bCs/>
                <w:color w:val="000000"/>
                <w:sz w:val="16"/>
                <w:szCs w:val="16"/>
                <w:lang w:eastAsia="sl-SI"/>
              </w:rPr>
              <w:t>Poslovni prihodki od opravljanja lastne dejavnosti</w:t>
            </w:r>
          </w:p>
        </w:tc>
        <w:tc>
          <w:tcPr>
            <w:tcW w:w="1080" w:type="dxa"/>
            <w:tcBorders>
              <w:top w:val="single" w:sz="8" w:space="0" w:color="auto"/>
              <w:left w:val="nil"/>
              <w:bottom w:val="single" w:sz="8" w:space="0" w:color="auto"/>
              <w:right w:val="single" w:sz="4" w:space="0" w:color="auto"/>
            </w:tcBorders>
            <w:shd w:val="clear" w:color="auto" w:fill="auto"/>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lang w:eastAsia="sl-SI"/>
              </w:rPr>
            </w:pPr>
            <w:r w:rsidRPr="00AC6A1D">
              <w:rPr>
                <w:rFonts w:ascii="Arial" w:eastAsia="Times New Roman" w:hAnsi="Arial" w:cs="Arial"/>
                <w:b/>
                <w:bCs/>
                <w:color w:val="000000"/>
                <w:sz w:val="16"/>
                <w:szCs w:val="16"/>
                <w:lang w:eastAsia="sl-SI"/>
              </w:rPr>
              <w:t>Delež lastne dejavnosti</w:t>
            </w:r>
          </w:p>
        </w:tc>
        <w:tc>
          <w:tcPr>
            <w:tcW w:w="1080" w:type="dxa"/>
            <w:tcBorders>
              <w:top w:val="single" w:sz="8" w:space="0" w:color="auto"/>
              <w:left w:val="nil"/>
              <w:bottom w:val="single" w:sz="8" w:space="0" w:color="auto"/>
              <w:right w:val="single" w:sz="8" w:space="0" w:color="auto"/>
            </w:tcBorders>
            <w:shd w:val="clear" w:color="auto" w:fill="auto"/>
            <w:vAlign w:val="bottom"/>
            <w:hideMark/>
          </w:tcPr>
          <w:p w:rsidR="00AC6A1D" w:rsidRPr="00AC6A1D" w:rsidRDefault="00AC6A1D" w:rsidP="00AC6A1D">
            <w:pPr>
              <w:spacing w:after="0" w:line="240" w:lineRule="auto"/>
              <w:jc w:val="center"/>
              <w:rPr>
                <w:rFonts w:ascii="Arial" w:eastAsia="Times New Roman" w:hAnsi="Arial" w:cs="Arial"/>
                <w:b/>
                <w:bCs/>
                <w:color w:val="000000"/>
                <w:sz w:val="16"/>
                <w:szCs w:val="16"/>
                <w:lang w:eastAsia="sl-SI"/>
              </w:rPr>
            </w:pPr>
            <w:r w:rsidRPr="00AC6A1D">
              <w:rPr>
                <w:rFonts w:ascii="Arial" w:eastAsia="Times New Roman" w:hAnsi="Arial" w:cs="Arial"/>
                <w:b/>
                <w:bCs/>
                <w:color w:val="000000"/>
                <w:sz w:val="16"/>
                <w:szCs w:val="16"/>
                <w:lang w:eastAsia="sl-SI"/>
              </w:rPr>
              <w:t>Neto čisti presežek prihodkov nad odhodki</w:t>
            </w:r>
          </w:p>
        </w:tc>
      </w:tr>
      <w:tr w:rsidR="00AC6A1D" w:rsidRPr="00AC6A1D" w:rsidTr="00AC6A1D">
        <w:trPr>
          <w:trHeight w:val="300"/>
          <w:jc w:val="center"/>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Bloke</w:t>
            </w:r>
          </w:p>
        </w:tc>
        <w:tc>
          <w:tcPr>
            <w:tcW w:w="1098"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1518</w:t>
            </w:r>
          </w:p>
        </w:tc>
        <w:tc>
          <w:tcPr>
            <w:tcW w:w="9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4</w:t>
            </w:r>
          </w:p>
        </w:tc>
        <w:tc>
          <w:tcPr>
            <w:tcW w:w="112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380</w:t>
            </w:r>
          </w:p>
        </w:tc>
        <w:tc>
          <w:tcPr>
            <w:tcW w:w="112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1,3</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29.255</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29.595</w:t>
            </w:r>
          </w:p>
        </w:tc>
        <w:tc>
          <w:tcPr>
            <w:tcW w:w="108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7.399</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31.719</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25.995</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87,8%</w:t>
            </w:r>
          </w:p>
        </w:tc>
        <w:tc>
          <w:tcPr>
            <w:tcW w:w="1080" w:type="dxa"/>
            <w:tcBorders>
              <w:top w:val="nil"/>
              <w:left w:val="nil"/>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-2.124</w:t>
            </w:r>
          </w:p>
        </w:tc>
      </w:tr>
      <w:tr w:rsidR="00AC6A1D" w:rsidRPr="00AC6A1D" w:rsidTr="00AC6A1D">
        <w:trPr>
          <w:trHeight w:val="300"/>
          <w:jc w:val="center"/>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Cerknica</w:t>
            </w:r>
          </w:p>
        </w:tc>
        <w:tc>
          <w:tcPr>
            <w:tcW w:w="1098"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11419</w:t>
            </w:r>
          </w:p>
        </w:tc>
        <w:tc>
          <w:tcPr>
            <w:tcW w:w="9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21</w:t>
            </w:r>
          </w:p>
        </w:tc>
        <w:tc>
          <w:tcPr>
            <w:tcW w:w="112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544</w:t>
            </w:r>
          </w:p>
        </w:tc>
        <w:tc>
          <w:tcPr>
            <w:tcW w:w="112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15,2</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475.865</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1.034.245</w:t>
            </w:r>
          </w:p>
        </w:tc>
        <w:tc>
          <w:tcPr>
            <w:tcW w:w="108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49.250</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1.058.717</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448.350</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43,4%</w:t>
            </w:r>
          </w:p>
        </w:tc>
        <w:tc>
          <w:tcPr>
            <w:tcW w:w="1080" w:type="dxa"/>
            <w:tcBorders>
              <w:top w:val="nil"/>
              <w:left w:val="nil"/>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-25.107</w:t>
            </w:r>
          </w:p>
        </w:tc>
      </w:tr>
      <w:tr w:rsidR="00AC6A1D" w:rsidRPr="00AC6A1D" w:rsidTr="00AC6A1D">
        <w:trPr>
          <w:trHeight w:val="300"/>
          <w:jc w:val="center"/>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Ilirska Bistrica</w:t>
            </w:r>
          </w:p>
        </w:tc>
        <w:tc>
          <w:tcPr>
            <w:tcW w:w="1098"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13667</w:t>
            </w:r>
          </w:p>
        </w:tc>
        <w:tc>
          <w:tcPr>
            <w:tcW w:w="9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5</w:t>
            </w:r>
          </w:p>
        </w:tc>
        <w:tc>
          <w:tcPr>
            <w:tcW w:w="112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2733</w:t>
            </w:r>
          </w:p>
        </w:tc>
        <w:tc>
          <w:tcPr>
            <w:tcW w:w="112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7,7</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136.439</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260.324</w:t>
            </w:r>
          </w:p>
        </w:tc>
        <w:tc>
          <w:tcPr>
            <w:tcW w:w="108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52.065</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259.470</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76.669</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29,5%</w:t>
            </w:r>
          </w:p>
        </w:tc>
        <w:tc>
          <w:tcPr>
            <w:tcW w:w="1080" w:type="dxa"/>
            <w:tcBorders>
              <w:top w:val="nil"/>
              <w:left w:val="nil"/>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764</w:t>
            </w:r>
          </w:p>
        </w:tc>
      </w:tr>
      <w:tr w:rsidR="00AC6A1D" w:rsidRPr="00AC6A1D" w:rsidTr="00AC6A1D">
        <w:trPr>
          <w:trHeight w:val="300"/>
          <w:jc w:val="center"/>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Loška dolina</w:t>
            </w:r>
          </w:p>
        </w:tc>
        <w:tc>
          <w:tcPr>
            <w:tcW w:w="1098"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3867</w:t>
            </w:r>
          </w:p>
        </w:tc>
        <w:tc>
          <w:tcPr>
            <w:tcW w:w="9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8</w:t>
            </w:r>
          </w:p>
        </w:tc>
        <w:tc>
          <w:tcPr>
            <w:tcW w:w="112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483</w:t>
            </w:r>
          </w:p>
        </w:tc>
        <w:tc>
          <w:tcPr>
            <w:tcW w:w="112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1,0</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793.482</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170.100</w:t>
            </w:r>
          </w:p>
        </w:tc>
        <w:tc>
          <w:tcPr>
            <w:tcW w:w="108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21.263</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111.843</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73.404</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43,2%</w:t>
            </w:r>
          </w:p>
        </w:tc>
        <w:tc>
          <w:tcPr>
            <w:tcW w:w="1080" w:type="dxa"/>
            <w:tcBorders>
              <w:top w:val="nil"/>
              <w:left w:val="nil"/>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56.919</w:t>
            </w:r>
          </w:p>
        </w:tc>
      </w:tr>
      <w:tr w:rsidR="00AC6A1D" w:rsidRPr="00AC6A1D" w:rsidTr="00AC6A1D">
        <w:trPr>
          <w:trHeight w:val="300"/>
          <w:jc w:val="center"/>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Pivka</w:t>
            </w:r>
          </w:p>
        </w:tc>
        <w:tc>
          <w:tcPr>
            <w:tcW w:w="1098"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6054</w:t>
            </w:r>
          </w:p>
        </w:tc>
        <w:tc>
          <w:tcPr>
            <w:tcW w:w="9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9</w:t>
            </w:r>
          </w:p>
        </w:tc>
        <w:tc>
          <w:tcPr>
            <w:tcW w:w="112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673</w:t>
            </w:r>
          </w:p>
        </w:tc>
        <w:tc>
          <w:tcPr>
            <w:tcW w:w="112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5,5</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94.524</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262.689</w:t>
            </w:r>
          </w:p>
        </w:tc>
        <w:tc>
          <w:tcPr>
            <w:tcW w:w="108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29.188</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264.526</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75.860</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28,9%</w:t>
            </w:r>
          </w:p>
        </w:tc>
        <w:tc>
          <w:tcPr>
            <w:tcW w:w="1080" w:type="dxa"/>
            <w:tcBorders>
              <w:top w:val="nil"/>
              <w:left w:val="nil"/>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-2.159</w:t>
            </w:r>
          </w:p>
        </w:tc>
      </w:tr>
      <w:tr w:rsidR="00AC6A1D" w:rsidRPr="00AC6A1D" w:rsidTr="00AC6A1D">
        <w:trPr>
          <w:trHeight w:val="315"/>
          <w:jc w:val="center"/>
        </w:trPr>
        <w:tc>
          <w:tcPr>
            <w:tcW w:w="1540" w:type="dxa"/>
            <w:tcBorders>
              <w:top w:val="nil"/>
              <w:left w:val="single" w:sz="8" w:space="0" w:color="auto"/>
              <w:bottom w:val="nil"/>
              <w:right w:val="single" w:sz="8" w:space="0" w:color="auto"/>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Postojna</w:t>
            </w:r>
          </w:p>
        </w:tc>
        <w:tc>
          <w:tcPr>
            <w:tcW w:w="1098"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16026</w:t>
            </w:r>
          </w:p>
        </w:tc>
        <w:tc>
          <w:tcPr>
            <w:tcW w:w="98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6</w:t>
            </w:r>
          </w:p>
        </w:tc>
        <w:tc>
          <w:tcPr>
            <w:tcW w:w="1120" w:type="dxa"/>
            <w:tcBorders>
              <w:top w:val="nil"/>
              <w:left w:val="nil"/>
              <w:bottom w:val="nil"/>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2671</w:t>
            </w:r>
          </w:p>
        </w:tc>
        <w:tc>
          <w:tcPr>
            <w:tcW w:w="112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24,9</w:t>
            </w:r>
          </w:p>
        </w:tc>
        <w:tc>
          <w:tcPr>
            <w:tcW w:w="108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381.560</w:t>
            </w:r>
          </w:p>
        </w:tc>
        <w:tc>
          <w:tcPr>
            <w:tcW w:w="108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751.977</w:t>
            </w:r>
          </w:p>
        </w:tc>
        <w:tc>
          <w:tcPr>
            <w:tcW w:w="1080" w:type="dxa"/>
            <w:tcBorders>
              <w:top w:val="nil"/>
              <w:left w:val="nil"/>
              <w:bottom w:val="nil"/>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125.330</w:t>
            </w:r>
          </w:p>
        </w:tc>
        <w:tc>
          <w:tcPr>
            <w:tcW w:w="108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722.827</w:t>
            </w:r>
          </w:p>
        </w:tc>
        <w:tc>
          <w:tcPr>
            <w:tcW w:w="108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60.944</w:t>
            </w:r>
          </w:p>
        </w:tc>
        <w:tc>
          <w:tcPr>
            <w:tcW w:w="108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8,1%</w:t>
            </w:r>
          </w:p>
        </w:tc>
        <w:tc>
          <w:tcPr>
            <w:tcW w:w="1080" w:type="dxa"/>
            <w:tcBorders>
              <w:top w:val="nil"/>
              <w:left w:val="nil"/>
              <w:bottom w:val="nil"/>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27.728</w:t>
            </w:r>
          </w:p>
        </w:tc>
      </w:tr>
      <w:tr w:rsidR="00AC6A1D" w:rsidRPr="00AC6A1D" w:rsidTr="00AC6A1D">
        <w:trPr>
          <w:trHeight w:val="315"/>
          <w:jc w:val="center"/>
        </w:trPr>
        <w:tc>
          <w:tcPr>
            <w:tcW w:w="1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SKUPAJ</w:t>
            </w:r>
          </w:p>
        </w:tc>
        <w:tc>
          <w:tcPr>
            <w:tcW w:w="1098"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52551</w:t>
            </w:r>
          </w:p>
        </w:tc>
        <w:tc>
          <w:tcPr>
            <w:tcW w:w="98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53</w:t>
            </w:r>
          </w:p>
        </w:tc>
        <w:tc>
          <w:tcPr>
            <w:tcW w:w="1120" w:type="dxa"/>
            <w:tcBorders>
              <w:top w:val="single" w:sz="8" w:space="0" w:color="auto"/>
              <w:left w:val="nil"/>
              <w:bottom w:val="single" w:sz="8"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992</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55,5</w:t>
            </w:r>
          </w:p>
        </w:tc>
        <w:tc>
          <w:tcPr>
            <w:tcW w:w="108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1.911.125</w:t>
            </w:r>
          </w:p>
        </w:tc>
        <w:tc>
          <w:tcPr>
            <w:tcW w:w="108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2.508.930</w:t>
            </w:r>
          </w:p>
        </w:tc>
        <w:tc>
          <w:tcPr>
            <w:tcW w:w="1080" w:type="dxa"/>
            <w:tcBorders>
              <w:top w:val="single" w:sz="8" w:space="0" w:color="auto"/>
              <w:left w:val="nil"/>
              <w:bottom w:val="single" w:sz="8"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47.338</w:t>
            </w:r>
          </w:p>
        </w:tc>
        <w:tc>
          <w:tcPr>
            <w:tcW w:w="108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2.449.102</w:t>
            </w:r>
          </w:p>
        </w:tc>
        <w:tc>
          <w:tcPr>
            <w:tcW w:w="108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761.222</w:t>
            </w:r>
          </w:p>
        </w:tc>
        <w:tc>
          <w:tcPr>
            <w:tcW w:w="108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30,3%</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56.021</w:t>
            </w:r>
          </w:p>
        </w:tc>
      </w:tr>
    </w:tbl>
    <w:p w:rsidR="00AC6A1D" w:rsidRDefault="00AC6A1D" w:rsidP="00AC6A1D">
      <w:pPr>
        <w:jc w:val="center"/>
      </w:pPr>
      <w:r>
        <w:br/>
        <w:t>Tabela 2</w:t>
      </w:r>
      <w:r w:rsidRPr="00CA4EBF">
        <w:t xml:space="preserve">: </w:t>
      </w:r>
      <w:r>
        <w:t xml:space="preserve">ZAVODI IN USTANOVE- </w:t>
      </w:r>
      <w:r w:rsidRPr="00CA4EBF">
        <w:t xml:space="preserve">Pregled finančnih in zaposlitvenih </w:t>
      </w:r>
      <w:r>
        <w:t>podatkov po občinah</w:t>
      </w:r>
    </w:p>
    <w:p w:rsidR="00AC6A1D" w:rsidRDefault="00AC6A1D" w:rsidP="00AC6A1D">
      <w:pPr>
        <w:jc w:val="center"/>
      </w:pPr>
    </w:p>
    <w:p w:rsidR="00AC6A1D" w:rsidRDefault="00AC6A1D" w:rsidP="00AC6A1D">
      <w:pPr>
        <w:jc w:val="center"/>
      </w:pPr>
    </w:p>
    <w:p w:rsidR="00AC6A1D" w:rsidRDefault="00AC6A1D" w:rsidP="00AC6A1D">
      <w:pPr>
        <w:jc w:val="center"/>
      </w:pPr>
    </w:p>
    <w:tbl>
      <w:tblPr>
        <w:tblW w:w="13380" w:type="dxa"/>
        <w:jc w:val="center"/>
        <w:tblCellMar>
          <w:left w:w="70" w:type="dxa"/>
          <w:right w:w="70" w:type="dxa"/>
        </w:tblCellMar>
        <w:tblLook w:val="04A0" w:firstRow="1" w:lastRow="0" w:firstColumn="1" w:lastColumn="0" w:noHBand="0" w:noVBand="1"/>
      </w:tblPr>
      <w:tblGrid>
        <w:gridCol w:w="1540"/>
        <w:gridCol w:w="1098"/>
        <w:gridCol w:w="980"/>
        <w:gridCol w:w="1120"/>
        <w:gridCol w:w="1120"/>
        <w:gridCol w:w="1150"/>
        <w:gridCol w:w="1150"/>
        <w:gridCol w:w="1080"/>
        <w:gridCol w:w="1080"/>
        <w:gridCol w:w="1089"/>
        <w:gridCol w:w="1150"/>
        <w:gridCol w:w="1080"/>
      </w:tblGrid>
      <w:tr w:rsidR="00AC6A1D" w:rsidRPr="00AC6A1D" w:rsidTr="00AC6A1D">
        <w:trPr>
          <w:trHeight w:val="1155"/>
          <w:jc w:val="center"/>
        </w:trPr>
        <w:tc>
          <w:tcPr>
            <w:tcW w:w="1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Občina</w:t>
            </w:r>
          </w:p>
        </w:tc>
        <w:tc>
          <w:tcPr>
            <w:tcW w:w="1060" w:type="dxa"/>
            <w:tcBorders>
              <w:top w:val="single" w:sz="8" w:space="0" w:color="auto"/>
              <w:left w:val="nil"/>
              <w:bottom w:val="single" w:sz="8" w:space="0" w:color="auto"/>
              <w:right w:val="single" w:sz="4" w:space="0" w:color="auto"/>
            </w:tcBorders>
            <w:shd w:val="clear" w:color="auto" w:fill="auto"/>
            <w:vAlign w:val="bottom"/>
            <w:hideMark/>
          </w:tcPr>
          <w:p w:rsidR="00AC6A1D" w:rsidRPr="00AC6A1D" w:rsidRDefault="00AC6A1D" w:rsidP="00AC6A1D">
            <w:pPr>
              <w:spacing w:after="0" w:line="240" w:lineRule="auto"/>
              <w:rPr>
                <w:rFonts w:ascii="Calibri" w:eastAsia="Times New Roman" w:hAnsi="Calibri" w:cs="Times New Roman"/>
                <w:b/>
                <w:bCs/>
                <w:color w:val="000000"/>
                <w:sz w:val="20"/>
                <w:szCs w:val="20"/>
                <w:lang w:eastAsia="sl-SI"/>
              </w:rPr>
            </w:pPr>
            <w:r w:rsidRPr="00AC6A1D">
              <w:rPr>
                <w:rFonts w:ascii="Calibri" w:eastAsia="Times New Roman" w:hAnsi="Calibri" w:cs="Times New Roman"/>
                <w:b/>
                <w:bCs/>
                <w:color w:val="000000"/>
                <w:sz w:val="20"/>
                <w:szCs w:val="20"/>
                <w:lang w:eastAsia="sl-SI"/>
              </w:rPr>
              <w:t>Št. prebivalcev</w:t>
            </w:r>
          </w:p>
        </w:tc>
        <w:tc>
          <w:tcPr>
            <w:tcW w:w="980" w:type="dxa"/>
            <w:tcBorders>
              <w:top w:val="single" w:sz="8" w:space="0" w:color="auto"/>
              <w:left w:val="nil"/>
              <w:bottom w:val="single" w:sz="8" w:space="0" w:color="auto"/>
              <w:right w:val="single" w:sz="4" w:space="0" w:color="auto"/>
            </w:tcBorders>
            <w:shd w:val="clear" w:color="auto" w:fill="auto"/>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lang w:eastAsia="sl-SI"/>
              </w:rPr>
            </w:pPr>
            <w:r w:rsidRPr="00AC6A1D">
              <w:rPr>
                <w:rFonts w:ascii="Arial" w:eastAsia="Times New Roman" w:hAnsi="Arial" w:cs="Arial"/>
                <w:b/>
                <w:bCs/>
                <w:color w:val="000000"/>
                <w:sz w:val="16"/>
                <w:szCs w:val="16"/>
                <w:lang w:eastAsia="sl-SI"/>
              </w:rPr>
              <w:t>Št. NVO</w:t>
            </w:r>
          </w:p>
        </w:tc>
        <w:tc>
          <w:tcPr>
            <w:tcW w:w="1120" w:type="dxa"/>
            <w:tcBorders>
              <w:top w:val="single" w:sz="8" w:space="0" w:color="auto"/>
              <w:left w:val="nil"/>
              <w:bottom w:val="single" w:sz="8" w:space="0" w:color="auto"/>
              <w:right w:val="single" w:sz="4" w:space="0" w:color="auto"/>
            </w:tcBorders>
            <w:shd w:val="clear" w:color="000000" w:fill="F2F2F2"/>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lang w:eastAsia="sl-SI"/>
              </w:rPr>
            </w:pPr>
            <w:r w:rsidRPr="00AC6A1D">
              <w:rPr>
                <w:rFonts w:ascii="Arial" w:eastAsia="Times New Roman" w:hAnsi="Arial" w:cs="Arial"/>
                <w:b/>
                <w:bCs/>
                <w:color w:val="000000"/>
                <w:sz w:val="16"/>
                <w:szCs w:val="16"/>
                <w:lang w:eastAsia="sl-SI"/>
              </w:rPr>
              <w:t>Prebivalcev / organizacijo</w:t>
            </w:r>
          </w:p>
        </w:tc>
        <w:tc>
          <w:tcPr>
            <w:tcW w:w="1120" w:type="dxa"/>
            <w:tcBorders>
              <w:top w:val="single" w:sz="8" w:space="0" w:color="auto"/>
              <w:left w:val="nil"/>
              <w:bottom w:val="single" w:sz="8" w:space="0" w:color="auto"/>
              <w:right w:val="single" w:sz="4" w:space="0" w:color="auto"/>
            </w:tcBorders>
            <w:shd w:val="clear" w:color="auto" w:fill="auto"/>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lang w:eastAsia="sl-SI"/>
              </w:rPr>
            </w:pPr>
            <w:r w:rsidRPr="00AC6A1D">
              <w:rPr>
                <w:rFonts w:ascii="Arial" w:eastAsia="Times New Roman" w:hAnsi="Arial" w:cs="Arial"/>
                <w:b/>
                <w:bCs/>
                <w:color w:val="000000"/>
                <w:sz w:val="16"/>
                <w:szCs w:val="16"/>
                <w:lang w:eastAsia="sl-SI"/>
              </w:rPr>
              <w:t>Število zaposlenih</w:t>
            </w:r>
          </w:p>
        </w:tc>
        <w:tc>
          <w:tcPr>
            <w:tcW w:w="1080" w:type="dxa"/>
            <w:tcBorders>
              <w:top w:val="single" w:sz="8" w:space="0" w:color="auto"/>
              <w:left w:val="nil"/>
              <w:bottom w:val="single" w:sz="8" w:space="0" w:color="auto"/>
              <w:right w:val="single" w:sz="4" w:space="0" w:color="auto"/>
            </w:tcBorders>
            <w:shd w:val="clear" w:color="auto" w:fill="auto"/>
            <w:noWrap/>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lang w:eastAsia="sl-SI"/>
              </w:rPr>
            </w:pPr>
            <w:r w:rsidRPr="00AC6A1D">
              <w:rPr>
                <w:rFonts w:ascii="Arial" w:eastAsia="Times New Roman" w:hAnsi="Arial" w:cs="Arial"/>
                <w:b/>
                <w:bCs/>
                <w:color w:val="000000"/>
                <w:sz w:val="16"/>
                <w:szCs w:val="16"/>
                <w:lang w:eastAsia="sl-SI"/>
              </w:rPr>
              <w:t>Sredstva</w:t>
            </w:r>
          </w:p>
        </w:tc>
        <w:tc>
          <w:tcPr>
            <w:tcW w:w="1080" w:type="dxa"/>
            <w:tcBorders>
              <w:top w:val="single" w:sz="8" w:space="0" w:color="auto"/>
              <w:left w:val="nil"/>
              <w:bottom w:val="single" w:sz="8" w:space="0" w:color="auto"/>
              <w:right w:val="single" w:sz="4" w:space="0" w:color="auto"/>
            </w:tcBorders>
            <w:shd w:val="clear" w:color="auto" w:fill="auto"/>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lang w:eastAsia="sl-SI"/>
              </w:rPr>
            </w:pPr>
            <w:r w:rsidRPr="00AC6A1D">
              <w:rPr>
                <w:rFonts w:ascii="Arial" w:eastAsia="Times New Roman" w:hAnsi="Arial" w:cs="Arial"/>
                <w:b/>
                <w:bCs/>
                <w:color w:val="000000"/>
                <w:sz w:val="16"/>
                <w:szCs w:val="16"/>
                <w:lang w:eastAsia="sl-SI"/>
              </w:rPr>
              <w:t>Celotni prihodki</w:t>
            </w:r>
          </w:p>
        </w:tc>
        <w:tc>
          <w:tcPr>
            <w:tcW w:w="1080" w:type="dxa"/>
            <w:tcBorders>
              <w:top w:val="single" w:sz="8" w:space="0" w:color="auto"/>
              <w:left w:val="nil"/>
              <w:bottom w:val="single" w:sz="8" w:space="0" w:color="auto"/>
              <w:right w:val="nil"/>
            </w:tcBorders>
            <w:shd w:val="clear" w:color="000000" w:fill="F2F2F2"/>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lang w:eastAsia="sl-SI"/>
              </w:rPr>
            </w:pPr>
            <w:r w:rsidRPr="00AC6A1D">
              <w:rPr>
                <w:rFonts w:ascii="Arial" w:eastAsia="Times New Roman" w:hAnsi="Arial" w:cs="Arial"/>
                <w:b/>
                <w:bCs/>
                <w:color w:val="000000"/>
                <w:sz w:val="16"/>
                <w:szCs w:val="16"/>
                <w:lang w:eastAsia="sl-SI"/>
              </w:rPr>
              <w:t>Prihodki / organizacijo</w:t>
            </w:r>
          </w:p>
        </w:tc>
        <w:tc>
          <w:tcPr>
            <w:tcW w:w="1080" w:type="dxa"/>
            <w:tcBorders>
              <w:top w:val="single" w:sz="8" w:space="0" w:color="auto"/>
              <w:left w:val="single" w:sz="4" w:space="0" w:color="auto"/>
              <w:bottom w:val="single" w:sz="8" w:space="0" w:color="auto"/>
              <w:right w:val="single" w:sz="4" w:space="0" w:color="auto"/>
            </w:tcBorders>
            <w:shd w:val="clear" w:color="000000" w:fill="F2F2F2"/>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lang w:eastAsia="sl-SI"/>
              </w:rPr>
            </w:pPr>
            <w:r w:rsidRPr="00AC6A1D">
              <w:rPr>
                <w:rFonts w:ascii="Arial" w:eastAsia="Times New Roman" w:hAnsi="Arial" w:cs="Arial"/>
                <w:b/>
                <w:bCs/>
                <w:color w:val="000000"/>
                <w:sz w:val="16"/>
                <w:szCs w:val="16"/>
                <w:lang w:eastAsia="sl-SI"/>
              </w:rPr>
              <w:t>razpisna sredstva (2016)</w:t>
            </w:r>
          </w:p>
        </w:tc>
        <w:tc>
          <w:tcPr>
            <w:tcW w:w="1080" w:type="dxa"/>
            <w:tcBorders>
              <w:top w:val="single" w:sz="8" w:space="0" w:color="auto"/>
              <w:left w:val="nil"/>
              <w:bottom w:val="single" w:sz="8" w:space="0" w:color="auto"/>
              <w:right w:val="single" w:sz="4" w:space="0" w:color="auto"/>
            </w:tcBorders>
            <w:shd w:val="clear" w:color="000000" w:fill="F2F2F2"/>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lang w:eastAsia="sl-SI"/>
              </w:rPr>
            </w:pPr>
            <w:r w:rsidRPr="00AC6A1D">
              <w:rPr>
                <w:rFonts w:ascii="Arial" w:eastAsia="Times New Roman" w:hAnsi="Arial" w:cs="Arial"/>
                <w:b/>
                <w:bCs/>
                <w:color w:val="000000"/>
                <w:sz w:val="16"/>
                <w:szCs w:val="16"/>
                <w:lang w:eastAsia="sl-SI"/>
              </w:rPr>
              <w:t>razpisna sredstva / organizacijo</w:t>
            </w:r>
          </w:p>
        </w:tc>
        <w:tc>
          <w:tcPr>
            <w:tcW w:w="1080" w:type="dxa"/>
            <w:tcBorders>
              <w:top w:val="single" w:sz="8" w:space="0" w:color="auto"/>
              <w:left w:val="nil"/>
              <w:bottom w:val="single" w:sz="8" w:space="0" w:color="auto"/>
              <w:right w:val="single" w:sz="4" w:space="0" w:color="auto"/>
            </w:tcBorders>
            <w:shd w:val="clear" w:color="auto" w:fill="auto"/>
            <w:vAlign w:val="center"/>
            <w:hideMark/>
          </w:tcPr>
          <w:p w:rsidR="00AC6A1D" w:rsidRPr="00AC6A1D" w:rsidRDefault="00AC6A1D" w:rsidP="00AC6A1D">
            <w:pPr>
              <w:spacing w:after="0" w:line="240" w:lineRule="auto"/>
              <w:jc w:val="center"/>
              <w:rPr>
                <w:rFonts w:ascii="Arial" w:eastAsia="Times New Roman" w:hAnsi="Arial" w:cs="Arial"/>
                <w:b/>
                <w:bCs/>
                <w:color w:val="000000"/>
                <w:sz w:val="16"/>
                <w:szCs w:val="16"/>
                <w:lang w:eastAsia="sl-SI"/>
              </w:rPr>
            </w:pPr>
            <w:r w:rsidRPr="00AC6A1D">
              <w:rPr>
                <w:rFonts w:ascii="Arial" w:eastAsia="Times New Roman" w:hAnsi="Arial" w:cs="Arial"/>
                <w:b/>
                <w:bCs/>
                <w:color w:val="000000"/>
                <w:sz w:val="16"/>
                <w:szCs w:val="16"/>
                <w:lang w:eastAsia="sl-SI"/>
              </w:rPr>
              <w:t>Celotni odhodki</w:t>
            </w:r>
          </w:p>
        </w:tc>
        <w:tc>
          <w:tcPr>
            <w:tcW w:w="1080" w:type="dxa"/>
            <w:tcBorders>
              <w:top w:val="single" w:sz="8" w:space="0" w:color="auto"/>
              <w:left w:val="nil"/>
              <w:bottom w:val="single" w:sz="8" w:space="0" w:color="auto"/>
              <w:right w:val="single" w:sz="8" w:space="0" w:color="auto"/>
            </w:tcBorders>
            <w:shd w:val="clear" w:color="auto" w:fill="auto"/>
            <w:vAlign w:val="bottom"/>
            <w:hideMark/>
          </w:tcPr>
          <w:p w:rsidR="00AC6A1D" w:rsidRPr="00AC6A1D" w:rsidRDefault="00AC6A1D" w:rsidP="00AC6A1D">
            <w:pPr>
              <w:spacing w:after="0" w:line="240" w:lineRule="auto"/>
              <w:jc w:val="center"/>
              <w:rPr>
                <w:rFonts w:ascii="Arial" w:eastAsia="Times New Roman" w:hAnsi="Arial" w:cs="Arial"/>
                <w:b/>
                <w:bCs/>
                <w:color w:val="000000"/>
                <w:sz w:val="16"/>
                <w:szCs w:val="16"/>
                <w:lang w:eastAsia="sl-SI"/>
              </w:rPr>
            </w:pPr>
            <w:r w:rsidRPr="00AC6A1D">
              <w:rPr>
                <w:rFonts w:ascii="Arial" w:eastAsia="Times New Roman" w:hAnsi="Arial" w:cs="Arial"/>
                <w:b/>
                <w:bCs/>
                <w:color w:val="000000"/>
                <w:sz w:val="16"/>
                <w:szCs w:val="16"/>
                <w:lang w:eastAsia="sl-SI"/>
              </w:rPr>
              <w:t>Neto čisti presežek prihodkov nad odhodki</w:t>
            </w:r>
          </w:p>
        </w:tc>
      </w:tr>
      <w:tr w:rsidR="00AC6A1D" w:rsidRPr="00AC6A1D" w:rsidTr="00AC6A1D">
        <w:trPr>
          <w:trHeight w:val="300"/>
          <w:jc w:val="center"/>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Bloke</w:t>
            </w:r>
          </w:p>
        </w:tc>
        <w:tc>
          <w:tcPr>
            <w:tcW w:w="106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1518</w:t>
            </w:r>
          </w:p>
        </w:tc>
        <w:tc>
          <w:tcPr>
            <w:tcW w:w="9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24</w:t>
            </w:r>
          </w:p>
        </w:tc>
        <w:tc>
          <w:tcPr>
            <w:tcW w:w="112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63</w:t>
            </w:r>
          </w:p>
        </w:tc>
        <w:tc>
          <w:tcPr>
            <w:tcW w:w="112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1,3</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491.523</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206.176</w:t>
            </w:r>
          </w:p>
        </w:tc>
        <w:tc>
          <w:tcPr>
            <w:tcW w:w="1080" w:type="dxa"/>
            <w:tcBorders>
              <w:top w:val="nil"/>
              <w:left w:val="nil"/>
              <w:bottom w:val="single" w:sz="4" w:space="0" w:color="auto"/>
              <w:right w:val="nil"/>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8.591</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31.930</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1330,4167</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202.491</w:t>
            </w:r>
          </w:p>
        </w:tc>
        <w:tc>
          <w:tcPr>
            <w:tcW w:w="1080" w:type="dxa"/>
            <w:tcBorders>
              <w:top w:val="nil"/>
              <w:left w:val="nil"/>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3.685</w:t>
            </w:r>
          </w:p>
        </w:tc>
      </w:tr>
      <w:tr w:rsidR="00AC6A1D" w:rsidRPr="00AC6A1D" w:rsidTr="00AC6A1D">
        <w:trPr>
          <w:trHeight w:val="300"/>
          <w:jc w:val="center"/>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Cerknica</w:t>
            </w:r>
          </w:p>
        </w:tc>
        <w:tc>
          <w:tcPr>
            <w:tcW w:w="106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11419</w:t>
            </w:r>
          </w:p>
        </w:tc>
        <w:tc>
          <w:tcPr>
            <w:tcW w:w="9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155</w:t>
            </w:r>
          </w:p>
        </w:tc>
        <w:tc>
          <w:tcPr>
            <w:tcW w:w="112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74</w:t>
            </w:r>
          </w:p>
        </w:tc>
        <w:tc>
          <w:tcPr>
            <w:tcW w:w="112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25,1</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3.504.945</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3.489.049</w:t>
            </w:r>
          </w:p>
        </w:tc>
        <w:tc>
          <w:tcPr>
            <w:tcW w:w="1080" w:type="dxa"/>
            <w:tcBorders>
              <w:top w:val="nil"/>
              <w:left w:val="nil"/>
              <w:bottom w:val="single" w:sz="4" w:space="0" w:color="auto"/>
              <w:right w:val="nil"/>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22.510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299.995</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1935,4516</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3.306.251</w:t>
            </w:r>
          </w:p>
        </w:tc>
        <w:tc>
          <w:tcPr>
            <w:tcW w:w="1080" w:type="dxa"/>
            <w:tcBorders>
              <w:top w:val="nil"/>
              <w:left w:val="nil"/>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182.163</w:t>
            </w:r>
          </w:p>
        </w:tc>
      </w:tr>
      <w:tr w:rsidR="00AC6A1D" w:rsidRPr="00AC6A1D" w:rsidTr="00AC6A1D">
        <w:trPr>
          <w:trHeight w:val="300"/>
          <w:jc w:val="center"/>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Ilirska Bistrica</w:t>
            </w:r>
          </w:p>
        </w:tc>
        <w:tc>
          <w:tcPr>
            <w:tcW w:w="106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13667</w:t>
            </w:r>
          </w:p>
        </w:tc>
        <w:tc>
          <w:tcPr>
            <w:tcW w:w="9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139</w:t>
            </w:r>
          </w:p>
        </w:tc>
        <w:tc>
          <w:tcPr>
            <w:tcW w:w="112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98</w:t>
            </w:r>
          </w:p>
        </w:tc>
        <w:tc>
          <w:tcPr>
            <w:tcW w:w="112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17,1</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3.569.138</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1.988.114</w:t>
            </w:r>
          </w:p>
        </w:tc>
        <w:tc>
          <w:tcPr>
            <w:tcW w:w="1080" w:type="dxa"/>
            <w:tcBorders>
              <w:top w:val="nil"/>
              <w:left w:val="nil"/>
              <w:bottom w:val="single" w:sz="4" w:space="0" w:color="auto"/>
              <w:right w:val="nil"/>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14.303</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207.378</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1491,9281</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1.957.619</w:t>
            </w:r>
          </w:p>
        </w:tc>
        <w:tc>
          <w:tcPr>
            <w:tcW w:w="1080" w:type="dxa"/>
            <w:tcBorders>
              <w:top w:val="nil"/>
              <w:left w:val="nil"/>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30.405</w:t>
            </w:r>
          </w:p>
        </w:tc>
      </w:tr>
      <w:tr w:rsidR="00AC6A1D" w:rsidRPr="00AC6A1D" w:rsidTr="00AC6A1D">
        <w:trPr>
          <w:trHeight w:val="300"/>
          <w:jc w:val="center"/>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Loška dolina</w:t>
            </w:r>
          </w:p>
        </w:tc>
        <w:tc>
          <w:tcPr>
            <w:tcW w:w="106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3867</w:t>
            </w:r>
          </w:p>
        </w:tc>
        <w:tc>
          <w:tcPr>
            <w:tcW w:w="9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48</w:t>
            </w:r>
          </w:p>
        </w:tc>
        <w:tc>
          <w:tcPr>
            <w:tcW w:w="112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81</w:t>
            </w:r>
          </w:p>
        </w:tc>
        <w:tc>
          <w:tcPr>
            <w:tcW w:w="112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1,0</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1.267.034</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664.954</w:t>
            </w:r>
          </w:p>
        </w:tc>
        <w:tc>
          <w:tcPr>
            <w:tcW w:w="1080" w:type="dxa"/>
            <w:tcBorders>
              <w:top w:val="nil"/>
              <w:left w:val="nil"/>
              <w:bottom w:val="single" w:sz="4" w:space="0" w:color="auto"/>
              <w:right w:val="nil"/>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13.853</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82.900</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1727,0833</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607.742</w:t>
            </w:r>
          </w:p>
        </w:tc>
        <w:tc>
          <w:tcPr>
            <w:tcW w:w="1080" w:type="dxa"/>
            <w:tcBorders>
              <w:top w:val="nil"/>
              <w:left w:val="nil"/>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55.874</w:t>
            </w:r>
          </w:p>
        </w:tc>
      </w:tr>
      <w:tr w:rsidR="00AC6A1D" w:rsidRPr="00AC6A1D" w:rsidTr="00AC6A1D">
        <w:trPr>
          <w:trHeight w:val="300"/>
          <w:jc w:val="center"/>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Pivka</w:t>
            </w:r>
          </w:p>
        </w:tc>
        <w:tc>
          <w:tcPr>
            <w:tcW w:w="106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6054</w:t>
            </w:r>
          </w:p>
        </w:tc>
        <w:tc>
          <w:tcPr>
            <w:tcW w:w="9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68</w:t>
            </w:r>
          </w:p>
        </w:tc>
        <w:tc>
          <w:tcPr>
            <w:tcW w:w="1120" w:type="dxa"/>
            <w:tcBorders>
              <w:top w:val="nil"/>
              <w:left w:val="nil"/>
              <w:bottom w:val="single" w:sz="4"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89</w:t>
            </w:r>
          </w:p>
        </w:tc>
        <w:tc>
          <w:tcPr>
            <w:tcW w:w="112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7,5</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1.235.174</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744.766</w:t>
            </w:r>
          </w:p>
        </w:tc>
        <w:tc>
          <w:tcPr>
            <w:tcW w:w="1080" w:type="dxa"/>
            <w:tcBorders>
              <w:top w:val="nil"/>
              <w:left w:val="nil"/>
              <w:bottom w:val="single" w:sz="4" w:space="0" w:color="auto"/>
              <w:right w:val="nil"/>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10.952</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130.808</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1923,6471</w:t>
            </w:r>
          </w:p>
        </w:tc>
        <w:tc>
          <w:tcPr>
            <w:tcW w:w="1080" w:type="dxa"/>
            <w:tcBorders>
              <w:top w:val="nil"/>
              <w:left w:val="nil"/>
              <w:bottom w:val="single" w:sz="4"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722.777</w:t>
            </w:r>
          </w:p>
        </w:tc>
        <w:tc>
          <w:tcPr>
            <w:tcW w:w="1080" w:type="dxa"/>
            <w:tcBorders>
              <w:top w:val="nil"/>
              <w:left w:val="nil"/>
              <w:bottom w:val="single" w:sz="4" w:space="0" w:color="auto"/>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21.667</w:t>
            </w:r>
          </w:p>
        </w:tc>
      </w:tr>
      <w:tr w:rsidR="00AC6A1D" w:rsidRPr="00AC6A1D" w:rsidTr="00AC6A1D">
        <w:trPr>
          <w:trHeight w:val="315"/>
          <w:jc w:val="center"/>
        </w:trPr>
        <w:tc>
          <w:tcPr>
            <w:tcW w:w="1540" w:type="dxa"/>
            <w:tcBorders>
              <w:top w:val="nil"/>
              <w:left w:val="single" w:sz="8" w:space="0" w:color="auto"/>
              <w:bottom w:val="nil"/>
              <w:right w:val="single" w:sz="8" w:space="0" w:color="auto"/>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Postojna</w:t>
            </w:r>
          </w:p>
        </w:tc>
        <w:tc>
          <w:tcPr>
            <w:tcW w:w="106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16026</w:t>
            </w:r>
          </w:p>
        </w:tc>
        <w:tc>
          <w:tcPr>
            <w:tcW w:w="98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174</w:t>
            </w:r>
          </w:p>
        </w:tc>
        <w:tc>
          <w:tcPr>
            <w:tcW w:w="1120" w:type="dxa"/>
            <w:tcBorders>
              <w:top w:val="nil"/>
              <w:left w:val="nil"/>
              <w:bottom w:val="nil"/>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92</w:t>
            </w:r>
          </w:p>
        </w:tc>
        <w:tc>
          <w:tcPr>
            <w:tcW w:w="112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51,6</w:t>
            </w:r>
          </w:p>
        </w:tc>
        <w:tc>
          <w:tcPr>
            <w:tcW w:w="108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4.182.791</w:t>
            </w:r>
          </w:p>
        </w:tc>
        <w:tc>
          <w:tcPr>
            <w:tcW w:w="108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3.823.116</w:t>
            </w:r>
          </w:p>
        </w:tc>
        <w:tc>
          <w:tcPr>
            <w:tcW w:w="1080" w:type="dxa"/>
            <w:tcBorders>
              <w:top w:val="nil"/>
              <w:left w:val="nil"/>
              <w:bottom w:val="nil"/>
              <w:right w:val="nil"/>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21.972</w:t>
            </w:r>
          </w:p>
        </w:tc>
        <w:tc>
          <w:tcPr>
            <w:tcW w:w="1080" w:type="dxa"/>
            <w:tcBorders>
              <w:top w:val="nil"/>
              <w:left w:val="single" w:sz="4" w:space="0" w:color="auto"/>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345.000</w:t>
            </w:r>
          </w:p>
        </w:tc>
        <w:tc>
          <w:tcPr>
            <w:tcW w:w="108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1982,7586</w:t>
            </w:r>
          </w:p>
        </w:tc>
        <w:tc>
          <w:tcPr>
            <w:tcW w:w="1080" w:type="dxa"/>
            <w:tcBorders>
              <w:top w:val="nil"/>
              <w:left w:val="nil"/>
              <w:bottom w:val="nil"/>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3.771.672</w:t>
            </w:r>
          </w:p>
        </w:tc>
        <w:tc>
          <w:tcPr>
            <w:tcW w:w="1080" w:type="dxa"/>
            <w:tcBorders>
              <w:top w:val="nil"/>
              <w:left w:val="nil"/>
              <w:bottom w:val="nil"/>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color w:val="000000"/>
                <w:lang w:eastAsia="sl-SI"/>
              </w:rPr>
            </w:pPr>
            <w:r w:rsidRPr="00AC6A1D">
              <w:rPr>
                <w:rFonts w:ascii="Calibri" w:eastAsia="Times New Roman" w:hAnsi="Calibri" w:cs="Times New Roman"/>
                <w:color w:val="000000"/>
                <w:lang w:eastAsia="sl-SI"/>
              </w:rPr>
              <w:t>50.022</w:t>
            </w:r>
          </w:p>
        </w:tc>
      </w:tr>
      <w:tr w:rsidR="00AC6A1D" w:rsidRPr="00AC6A1D" w:rsidTr="00AC6A1D">
        <w:trPr>
          <w:trHeight w:val="315"/>
          <w:jc w:val="center"/>
        </w:trPr>
        <w:tc>
          <w:tcPr>
            <w:tcW w:w="1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6A1D" w:rsidRPr="00AC6A1D" w:rsidRDefault="00AC6A1D" w:rsidP="00AC6A1D">
            <w:pPr>
              <w:spacing w:after="0" w:line="240" w:lineRule="auto"/>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SKUPAJ</w:t>
            </w:r>
          </w:p>
        </w:tc>
        <w:tc>
          <w:tcPr>
            <w:tcW w:w="106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52551</w:t>
            </w:r>
          </w:p>
        </w:tc>
        <w:tc>
          <w:tcPr>
            <w:tcW w:w="98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608</w:t>
            </w:r>
          </w:p>
        </w:tc>
        <w:tc>
          <w:tcPr>
            <w:tcW w:w="1120" w:type="dxa"/>
            <w:tcBorders>
              <w:top w:val="single" w:sz="8" w:space="0" w:color="auto"/>
              <w:left w:val="nil"/>
              <w:bottom w:val="single" w:sz="8" w:space="0" w:color="auto"/>
              <w:right w:val="single" w:sz="4" w:space="0" w:color="auto"/>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86</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103,5</w:t>
            </w:r>
          </w:p>
        </w:tc>
        <w:tc>
          <w:tcPr>
            <w:tcW w:w="108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14.250.605</w:t>
            </w:r>
          </w:p>
        </w:tc>
        <w:tc>
          <w:tcPr>
            <w:tcW w:w="108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10.916.175</w:t>
            </w:r>
          </w:p>
        </w:tc>
        <w:tc>
          <w:tcPr>
            <w:tcW w:w="1080" w:type="dxa"/>
            <w:tcBorders>
              <w:top w:val="single" w:sz="8" w:space="0" w:color="auto"/>
              <w:left w:val="nil"/>
              <w:bottom w:val="single" w:sz="8" w:space="0" w:color="auto"/>
              <w:right w:val="nil"/>
            </w:tcBorders>
            <w:shd w:val="clear" w:color="000000" w:fill="F2F2F2"/>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17.954</w:t>
            </w:r>
          </w:p>
        </w:tc>
        <w:tc>
          <w:tcPr>
            <w:tcW w:w="1080" w:type="dxa"/>
            <w:tcBorders>
              <w:top w:val="nil"/>
              <w:left w:val="single" w:sz="4" w:space="0" w:color="auto"/>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1.098.011</w:t>
            </w:r>
          </w:p>
        </w:tc>
        <w:tc>
          <w:tcPr>
            <w:tcW w:w="108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1805,9391</w:t>
            </w:r>
          </w:p>
        </w:tc>
        <w:tc>
          <w:tcPr>
            <w:tcW w:w="1080" w:type="dxa"/>
            <w:tcBorders>
              <w:top w:val="single" w:sz="8" w:space="0" w:color="auto"/>
              <w:left w:val="nil"/>
              <w:bottom w:val="single" w:sz="8" w:space="0" w:color="auto"/>
              <w:right w:val="single" w:sz="4"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10.568.552</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AC6A1D" w:rsidRPr="00AC6A1D" w:rsidRDefault="00AC6A1D" w:rsidP="00AC6A1D">
            <w:pPr>
              <w:spacing w:after="0" w:line="240" w:lineRule="auto"/>
              <w:jc w:val="right"/>
              <w:rPr>
                <w:rFonts w:ascii="Calibri" w:eastAsia="Times New Roman" w:hAnsi="Calibri" w:cs="Times New Roman"/>
                <w:b/>
                <w:bCs/>
                <w:color w:val="000000"/>
                <w:lang w:eastAsia="sl-SI"/>
              </w:rPr>
            </w:pPr>
            <w:r w:rsidRPr="00AC6A1D">
              <w:rPr>
                <w:rFonts w:ascii="Calibri" w:eastAsia="Times New Roman" w:hAnsi="Calibri" w:cs="Times New Roman"/>
                <w:b/>
                <w:bCs/>
                <w:color w:val="000000"/>
                <w:lang w:eastAsia="sl-SI"/>
              </w:rPr>
              <w:t>343.816</w:t>
            </w:r>
          </w:p>
        </w:tc>
      </w:tr>
    </w:tbl>
    <w:p w:rsidR="00AC6A1D" w:rsidRDefault="00AC6A1D" w:rsidP="00AC6A1D">
      <w:pPr>
        <w:jc w:val="center"/>
      </w:pPr>
    </w:p>
    <w:p w:rsidR="00AC6A1D" w:rsidRDefault="00AC6A1D" w:rsidP="00AC6A1D">
      <w:pPr>
        <w:jc w:val="center"/>
      </w:pPr>
      <w:r>
        <w:t>Tabela 2</w:t>
      </w:r>
      <w:r w:rsidRPr="00CA4EBF">
        <w:t xml:space="preserve">: </w:t>
      </w:r>
      <w:r>
        <w:t xml:space="preserve">ZBIRNO NVO- </w:t>
      </w:r>
      <w:r w:rsidRPr="00CA4EBF">
        <w:t xml:space="preserve">Pregled finančnih in zaposlitvenih </w:t>
      </w:r>
      <w:r>
        <w:t>podatkov po občinah</w:t>
      </w:r>
    </w:p>
    <w:p w:rsidR="00AC6A1D" w:rsidRPr="00CA4EBF" w:rsidRDefault="00AC6A1D" w:rsidP="00AC6A1D"/>
    <w:sectPr w:rsidR="00AC6A1D" w:rsidRPr="00CA4EBF" w:rsidSect="00CA4EBF">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225" w:rsidRDefault="00CA5225" w:rsidP="00D01999">
      <w:pPr>
        <w:spacing w:after="0" w:line="240" w:lineRule="auto"/>
      </w:pPr>
      <w:r>
        <w:separator/>
      </w:r>
    </w:p>
  </w:endnote>
  <w:endnote w:type="continuationSeparator" w:id="0">
    <w:p w:rsidR="00CA5225" w:rsidRDefault="00CA5225" w:rsidP="00D01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225" w:rsidRDefault="00CA5225" w:rsidP="00D01999">
      <w:pPr>
        <w:spacing w:after="0" w:line="240" w:lineRule="auto"/>
      </w:pPr>
      <w:r>
        <w:separator/>
      </w:r>
    </w:p>
  </w:footnote>
  <w:footnote w:type="continuationSeparator" w:id="0">
    <w:p w:rsidR="00CA5225" w:rsidRDefault="00CA5225" w:rsidP="00D01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92D" w:rsidRDefault="00CA4EBF">
    <w:pPr>
      <w:pStyle w:val="Glava"/>
    </w:pPr>
    <w:r>
      <w:rPr>
        <w:noProof/>
        <w:lang w:eastAsia="sl-SI"/>
      </w:rPr>
      <w:drawing>
        <wp:anchor distT="0" distB="0" distL="114300" distR="114300" simplePos="0" relativeHeight="251660288" behindDoc="0" locked="0" layoutInCell="1" allowOverlap="1">
          <wp:simplePos x="0" y="0"/>
          <wp:positionH relativeFrom="column">
            <wp:posOffset>14605</wp:posOffset>
          </wp:positionH>
          <wp:positionV relativeFrom="paragraph">
            <wp:posOffset>-1905</wp:posOffset>
          </wp:positionV>
          <wp:extent cx="1905000" cy="457200"/>
          <wp:effectExtent l="19050" t="0" r="0" b="0"/>
          <wp:wrapNone/>
          <wp:docPr id="6" name="Picture 6" descr="ministrstvo za javno up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nistrstvo za javno upravo"/>
                  <pic:cNvPicPr>
                    <a:picLocks noChangeAspect="1" noChangeArrowheads="1"/>
                  </pic:cNvPicPr>
                </pic:nvPicPr>
                <pic:blipFill>
                  <a:blip r:embed="rId1"/>
                  <a:srcRect/>
                  <a:stretch>
                    <a:fillRect/>
                  </a:stretch>
                </pic:blipFill>
                <pic:spPr bwMode="auto">
                  <a:xfrm>
                    <a:off x="0" y="0"/>
                    <a:ext cx="1905000" cy="457200"/>
                  </a:xfrm>
                  <a:prstGeom prst="rect">
                    <a:avLst/>
                  </a:prstGeom>
                  <a:noFill/>
                  <a:ln w="9525">
                    <a:noFill/>
                    <a:miter lim="800000"/>
                    <a:headEnd/>
                    <a:tailEnd/>
                  </a:ln>
                </pic:spPr>
              </pic:pic>
            </a:graphicData>
          </a:graphic>
        </wp:anchor>
      </w:drawing>
    </w:r>
    <w:r>
      <w:rPr>
        <w:noProof/>
        <w:lang w:eastAsia="sl-SI"/>
      </w:rPr>
      <w:drawing>
        <wp:anchor distT="0" distB="0" distL="114300" distR="114300" simplePos="0" relativeHeight="251659264" behindDoc="0" locked="0" layoutInCell="1" allowOverlap="1">
          <wp:simplePos x="0" y="0"/>
          <wp:positionH relativeFrom="column">
            <wp:posOffset>7901305</wp:posOffset>
          </wp:positionH>
          <wp:positionV relativeFrom="paragraph">
            <wp:posOffset>-230505</wp:posOffset>
          </wp:positionV>
          <wp:extent cx="1695450" cy="819150"/>
          <wp:effectExtent l="19050" t="0" r="0" b="0"/>
          <wp:wrapNone/>
          <wp:docPr id="5" name="Picture 5"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EKP_socialni_sklad_SLO_slogan"/>
                  <pic:cNvPicPr>
                    <a:picLocks noChangeAspect="1" noChangeArrowheads="1"/>
                  </pic:cNvPicPr>
                </pic:nvPicPr>
                <pic:blipFill>
                  <a:blip r:embed="rId2"/>
                  <a:srcRect/>
                  <a:stretch>
                    <a:fillRect/>
                  </a:stretch>
                </pic:blipFill>
                <pic:spPr bwMode="auto">
                  <a:xfrm>
                    <a:off x="0" y="0"/>
                    <a:ext cx="1695450" cy="819150"/>
                  </a:xfrm>
                  <a:prstGeom prst="rect">
                    <a:avLst/>
                  </a:prstGeom>
                  <a:noFill/>
                  <a:ln w="9525">
                    <a:noFill/>
                    <a:miter lim="800000"/>
                    <a:headEnd/>
                    <a:tailEnd/>
                  </a:ln>
                </pic:spPr>
              </pic:pic>
            </a:graphicData>
          </a:graphic>
        </wp:anchor>
      </w:drawing>
    </w:r>
    <w:r>
      <w:rPr>
        <w:noProof/>
        <w:lang w:eastAsia="sl-SI"/>
      </w:rPr>
      <w:drawing>
        <wp:anchor distT="0" distB="0" distL="114300" distR="114300" simplePos="0" relativeHeight="251658240" behindDoc="0" locked="0" layoutInCell="1" allowOverlap="1">
          <wp:simplePos x="0" y="0"/>
          <wp:positionH relativeFrom="column">
            <wp:posOffset>3729355</wp:posOffset>
          </wp:positionH>
          <wp:positionV relativeFrom="paragraph">
            <wp:posOffset>-182880</wp:posOffset>
          </wp:positionV>
          <wp:extent cx="1419225" cy="695325"/>
          <wp:effectExtent l="19050" t="0" r="9525" b="0"/>
          <wp:wrapNone/>
          <wp:docPr id="4" name="Picture 4" descr="logo-bore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boreo2"/>
                  <pic:cNvPicPr>
                    <a:picLocks noChangeAspect="1" noChangeArrowheads="1"/>
                  </pic:cNvPicPr>
                </pic:nvPicPr>
                <pic:blipFill>
                  <a:blip r:embed="rId3"/>
                  <a:srcRect/>
                  <a:stretch>
                    <a:fillRect/>
                  </a:stretch>
                </pic:blipFill>
                <pic:spPr bwMode="auto">
                  <a:xfrm>
                    <a:off x="0" y="0"/>
                    <a:ext cx="1419225" cy="69532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53C"/>
    <w:rsid w:val="000370B8"/>
    <w:rsid w:val="00037455"/>
    <w:rsid w:val="0004761B"/>
    <w:rsid w:val="000D0698"/>
    <w:rsid w:val="0023141B"/>
    <w:rsid w:val="004C1E84"/>
    <w:rsid w:val="004F6B4A"/>
    <w:rsid w:val="0056263B"/>
    <w:rsid w:val="005B6F57"/>
    <w:rsid w:val="00606D16"/>
    <w:rsid w:val="00692C79"/>
    <w:rsid w:val="00812AA1"/>
    <w:rsid w:val="00A02653"/>
    <w:rsid w:val="00AC6A1D"/>
    <w:rsid w:val="00B0692D"/>
    <w:rsid w:val="00B935C5"/>
    <w:rsid w:val="00CA353C"/>
    <w:rsid w:val="00CA4EBF"/>
    <w:rsid w:val="00CA5225"/>
    <w:rsid w:val="00D01999"/>
    <w:rsid w:val="00E623E6"/>
    <w:rsid w:val="00F838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29B1620D-9923-49A9-8F0B-1E97163EA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4761B"/>
  </w:style>
  <w:style w:type="paragraph" w:styleId="Naslov1">
    <w:name w:val="heading 1"/>
    <w:basedOn w:val="Navaden"/>
    <w:next w:val="Navaden"/>
    <w:link w:val="Naslov1Znak"/>
    <w:uiPriority w:val="9"/>
    <w:qFormat/>
    <w:rsid w:val="00B935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D019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E623E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623E6"/>
    <w:rPr>
      <w:rFonts w:ascii="Tahoma" w:hAnsi="Tahoma" w:cs="Tahoma"/>
      <w:sz w:val="16"/>
      <w:szCs w:val="16"/>
    </w:rPr>
  </w:style>
  <w:style w:type="character" w:customStyle="1" w:styleId="Naslov1Znak">
    <w:name w:val="Naslov 1 Znak"/>
    <w:basedOn w:val="Privzetapisavaodstavka"/>
    <w:link w:val="Naslov1"/>
    <w:uiPriority w:val="9"/>
    <w:rsid w:val="00B935C5"/>
    <w:rPr>
      <w:rFonts w:asciiTheme="majorHAnsi" w:eastAsiaTheme="majorEastAsia" w:hAnsiTheme="majorHAnsi" w:cstheme="majorBidi"/>
      <w:b/>
      <w:bCs/>
      <w:color w:val="365F91" w:themeColor="accent1" w:themeShade="BF"/>
      <w:sz w:val="28"/>
      <w:szCs w:val="28"/>
    </w:rPr>
  </w:style>
  <w:style w:type="paragraph" w:styleId="Glava">
    <w:name w:val="header"/>
    <w:basedOn w:val="Navaden"/>
    <w:link w:val="GlavaZnak"/>
    <w:uiPriority w:val="99"/>
    <w:semiHidden/>
    <w:unhideWhenUsed/>
    <w:rsid w:val="00D01999"/>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D01999"/>
  </w:style>
  <w:style w:type="paragraph" w:styleId="Noga">
    <w:name w:val="footer"/>
    <w:basedOn w:val="Navaden"/>
    <w:link w:val="NogaZnak"/>
    <w:uiPriority w:val="99"/>
    <w:semiHidden/>
    <w:unhideWhenUsed/>
    <w:rsid w:val="00D01999"/>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D01999"/>
  </w:style>
  <w:style w:type="character" w:customStyle="1" w:styleId="Naslov2Znak">
    <w:name w:val="Naslov 2 Znak"/>
    <w:basedOn w:val="Privzetapisavaodstavka"/>
    <w:link w:val="Naslov2"/>
    <w:uiPriority w:val="9"/>
    <w:rsid w:val="00D01999"/>
    <w:rPr>
      <w:rFonts w:asciiTheme="majorHAnsi" w:eastAsiaTheme="majorEastAsia" w:hAnsiTheme="majorHAnsi" w:cstheme="majorBidi"/>
      <w:b/>
      <w:bCs/>
      <w:color w:val="4F81BD" w:themeColor="accent1"/>
      <w:sz w:val="26"/>
      <w:szCs w:val="26"/>
    </w:rPr>
  </w:style>
  <w:style w:type="paragraph" w:styleId="Podnaslov">
    <w:name w:val="Subtitle"/>
    <w:basedOn w:val="Navaden"/>
    <w:next w:val="Navaden"/>
    <w:link w:val="PodnaslovZnak"/>
    <w:qFormat/>
    <w:rsid w:val="00B0692D"/>
    <w:pPr>
      <w:spacing w:after="60" w:line="240" w:lineRule="auto"/>
      <w:jc w:val="center"/>
      <w:outlineLvl w:val="1"/>
    </w:pPr>
    <w:rPr>
      <w:rFonts w:ascii="Calibri Light" w:eastAsia="Times New Roman" w:hAnsi="Calibri Light" w:cs="Times New Roman"/>
      <w:sz w:val="24"/>
      <w:szCs w:val="24"/>
    </w:rPr>
  </w:style>
  <w:style w:type="character" w:customStyle="1" w:styleId="PodnaslovZnak">
    <w:name w:val="Podnaslov Znak"/>
    <w:basedOn w:val="Privzetapisavaodstavka"/>
    <w:link w:val="Podnaslov"/>
    <w:rsid w:val="00B0692D"/>
    <w:rPr>
      <w:rFonts w:ascii="Calibri Light" w:eastAsia="Times New Roman" w:hAnsi="Calibri Light" w:cs="Times New Roman"/>
      <w:sz w:val="24"/>
      <w:szCs w:val="24"/>
    </w:rPr>
  </w:style>
  <w:style w:type="paragraph" w:styleId="Intenzivencitat">
    <w:name w:val="Intense Quote"/>
    <w:basedOn w:val="Navaden"/>
    <w:next w:val="Navaden"/>
    <w:link w:val="IntenzivencitatZnak"/>
    <w:uiPriority w:val="30"/>
    <w:qFormat/>
    <w:rsid w:val="00B0692D"/>
    <w:pPr>
      <w:pBdr>
        <w:top w:val="single" w:sz="4" w:space="10" w:color="5B9BD5"/>
        <w:bottom w:val="single" w:sz="4" w:space="10" w:color="5B9BD5"/>
      </w:pBdr>
      <w:spacing w:before="360" w:after="360" w:line="240" w:lineRule="auto"/>
      <w:ind w:left="864" w:right="864"/>
      <w:jc w:val="center"/>
    </w:pPr>
    <w:rPr>
      <w:rFonts w:ascii="Arial" w:eastAsia="Times New Roman" w:hAnsi="Arial" w:cs="Times New Roman"/>
      <w:i/>
      <w:iCs/>
      <w:color w:val="5B9BD5"/>
      <w:szCs w:val="24"/>
    </w:rPr>
  </w:style>
  <w:style w:type="character" w:customStyle="1" w:styleId="IntenzivencitatZnak">
    <w:name w:val="Intenziven citat Znak"/>
    <w:basedOn w:val="Privzetapisavaodstavka"/>
    <w:link w:val="Intenzivencitat"/>
    <w:uiPriority w:val="30"/>
    <w:rsid w:val="00B0692D"/>
    <w:rPr>
      <w:rFonts w:ascii="Arial" w:eastAsia="Times New Roman" w:hAnsi="Arial" w:cs="Times New Roman"/>
      <w:i/>
      <w:iCs/>
      <w:color w:val="5B9BD5"/>
      <w:szCs w:val="24"/>
    </w:rPr>
  </w:style>
  <w:style w:type="paragraph" w:styleId="Naslov">
    <w:name w:val="Title"/>
    <w:basedOn w:val="Navaden"/>
    <w:next w:val="Navaden"/>
    <w:link w:val="NaslovZnak"/>
    <w:uiPriority w:val="10"/>
    <w:qFormat/>
    <w:rsid w:val="00B069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B0692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671929">
      <w:bodyDiv w:val="1"/>
      <w:marLeft w:val="0"/>
      <w:marRight w:val="0"/>
      <w:marTop w:val="0"/>
      <w:marBottom w:val="0"/>
      <w:divBdr>
        <w:top w:val="none" w:sz="0" w:space="0" w:color="auto"/>
        <w:left w:val="none" w:sz="0" w:space="0" w:color="auto"/>
        <w:bottom w:val="none" w:sz="0" w:space="0" w:color="auto"/>
        <w:right w:val="none" w:sz="0" w:space="0" w:color="auto"/>
      </w:divBdr>
    </w:div>
    <w:div w:id="510951070">
      <w:bodyDiv w:val="1"/>
      <w:marLeft w:val="0"/>
      <w:marRight w:val="0"/>
      <w:marTop w:val="0"/>
      <w:marBottom w:val="0"/>
      <w:divBdr>
        <w:top w:val="none" w:sz="0" w:space="0" w:color="auto"/>
        <w:left w:val="none" w:sz="0" w:space="0" w:color="auto"/>
        <w:bottom w:val="none" w:sz="0" w:space="0" w:color="auto"/>
        <w:right w:val="none" w:sz="0" w:space="0" w:color="auto"/>
      </w:divBdr>
    </w:div>
    <w:div w:id="790592187">
      <w:bodyDiv w:val="1"/>
      <w:marLeft w:val="0"/>
      <w:marRight w:val="0"/>
      <w:marTop w:val="0"/>
      <w:marBottom w:val="0"/>
      <w:divBdr>
        <w:top w:val="none" w:sz="0" w:space="0" w:color="auto"/>
        <w:left w:val="none" w:sz="0" w:space="0" w:color="auto"/>
        <w:bottom w:val="none" w:sz="0" w:space="0" w:color="auto"/>
        <w:right w:val="none" w:sz="0" w:space="0" w:color="auto"/>
      </w:divBdr>
    </w:div>
    <w:div w:id="816922637">
      <w:bodyDiv w:val="1"/>
      <w:marLeft w:val="0"/>
      <w:marRight w:val="0"/>
      <w:marTop w:val="0"/>
      <w:marBottom w:val="0"/>
      <w:divBdr>
        <w:top w:val="none" w:sz="0" w:space="0" w:color="auto"/>
        <w:left w:val="none" w:sz="0" w:space="0" w:color="auto"/>
        <w:bottom w:val="none" w:sz="0" w:space="0" w:color="auto"/>
        <w:right w:val="none" w:sz="0" w:space="0" w:color="auto"/>
      </w:divBdr>
    </w:div>
    <w:div w:id="827480733">
      <w:bodyDiv w:val="1"/>
      <w:marLeft w:val="0"/>
      <w:marRight w:val="0"/>
      <w:marTop w:val="0"/>
      <w:marBottom w:val="0"/>
      <w:divBdr>
        <w:top w:val="none" w:sz="0" w:space="0" w:color="auto"/>
        <w:left w:val="none" w:sz="0" w:space="0" w:color="auto"/>
        <w:bottom w:val="none" w:sz="0" w:space="0" w:color="auto"/>
        <w:right w:val="none" w:sz="0" w:space="0" w:color="auto"/>
      </w:divBdr>
    </w:div>
    <w:div w:id="1289966669">
      <w:bodyDiv w:val="1"/>
      <w:marLeft w:val="0"/>
      <w:marRight w:val="0"/>
      <w:marTop w:val="0"/>
      <w:marBottom w:val="0"/>
      <w:divBdr>
        <w:top w:val="none" w:sz="0" w:space="0" w:color="auto"/>
        <w:left w:val="none" w:sz="0" w:space="0" w:color="auto"/>
        <w:bottom w:val="none" w:sz="0" w:space="0" w:color="auto"/>
        <w:right w:val="none" w:sz="0" w:space="0" w:color="auto"/>
      </w:divBdr>
    </w:div>
    <w:div w:id="1992251847">
      <w:bodyDiv w:val="1"/>
      <w:marLeft w:val="0"/>
      <w:marRight w:val="0"/>
      <w:marTop w:val="0"/>
      <w:marBottom w:val="0"/>
      <w:divBdr>
        <w:top w:val="none" w:sz="0" w:space="0" w:color="auto"/>
        <w:left w:val="none" w:sz="0" w:space="0" w:color="auto"/>
        <w:bottom w:val="none" w:sz="0" w:space="0" w:color="auto"/>
        <w:right w:val="none" w:sz="0" w:space="0" w:color="auto"/>
      </w:divBdr>
    </w:div>
    <w:div w:id="199892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5" Type="http://schemas.openxmlformats.org/officeDocument/2006/relationships/chart" Target="charts/chart10.xml"/><Relationship Id="rId10" Type="http://schemas.openxmlformats.org/officeDocument/2006/relationships/chart" Target="charts/chart5.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chart" Target="charts/chart9.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ocuments\Regija%20of%20MJU_NVO_LP_2015_04082016.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istrator\Documents\Regija%20of%20MJU_NVO_LP_2015_0408201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ocuments\Regija%20of%20MJU_NVO_LP_2015_0408201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ocuments\Regija%20of%20MJU_NVO_LP_2015_0408201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ocuments\Regija%20of%20MJU_NVO_LP_2015_0408201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ocuments\Regija%20of%20MJU_NVO_LP_2015_0408201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ocuments\Regija%20of%20MJU_NVO_LP_2015_0408201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ocuments\Regija%20of%20MJU_NVO_LP_2015_04082016.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istrator\Documents\Regija%20of%20MJU_NVO_LP_2015_04082016.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istrator\Documents\Regija%20of%20MJU_NVO_LP_2015_0408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v>Društva</c:v>
          </c:tx>
          <c:invertIfNegative val="0"/>
          <c:cat>
            <c:strRef>
              <c:f>'NVO po občinah'!$A$14:$A$19</c:f>
              <c:strCache>
                <c:ptCount val="6"/>
                <c:pt idx="0">
                  <c:v>Bloke</c:v>
                </c:pt>
                <c:pt idx="1">
                  <c:v>Cerknica</c:v>
                </c:pt>
                <c:pt idx="2">
                  <c:v>Ilirska Bistrica</c:v>
                </c:pt>
                <c:pt idx="3">
                  <c:v>Loška dolina</c:v>
                </c:pt>
                <c:pt idx="4">
                  <c:v>Pivka</c:v>
                </c:pt>
                <c:pt idx="5">
                  <c:v>Postojna</c:v>
                </c:pt>
              </c:strCache>
            </c:strRef>
          </c:cat>
          <c:val>
            <c:numRef>
              <c:f>'NVO po občinah'!$E$3:$E$8</c:f>
              <c:numCache>
                <c:formatCode>0.0</c:formatCode>
                <c:ptCount val="6"/>
                <c:pt idx="0">
                  <c:v>0</c:v>
                </c:pt>
                <c:pt idx="1">
                  <c:v>9.92</c:v>
                </c:pt>
                <c:pt idx="2">
                  <c:v>9.3700000000000028</c:v>
                </c:pt>
                <c:pt idx="3">
                  <c:v>0</c:v>
                </c:pt>
                <c:pt idx="4">
                  <c:v>2</c:v>
                </c:pt>
                <c:pt idx="5">
                  <c:v>26.759999999999998</c:v>
                </c:pt>
              </c:numCache>
            </c:numRef>
          </c:val>
        </c:ser>
        <c:ser>
          <c:idx val="1"/>
          <c:order val="1"/>
          <c:tx>
            <c:v>Zav+Ust</c:v>
          </c:tx>
          <c:invertIfNegative val="0"/>
          <c:cat>
            <c:strRef>
              <c:f>'NVO po občinah'!$A$14:$A$19</c:f>
              <c:strCache>
                <c:ptCount val="6"/>
                <c:pt idx="0">
                  <c:v>Bloke</c:v>
                </c:pt>
                <c:pt idx="1">
                  <c:v>Cerknica</c:v>
                </c:pt>
                <c:pt idx="2">
                  <c:v>Ilirska Bistrica</c:v>
                </c:pt>
                <c:pt idx="3">
                  <c:v>Loška dolina</c:v>
                </c:pt>
                <c:pt idx="4">
                  <c:v>Pivka</c:v>
                </c:pt>
                <c:pt idx="5">
                  <c:v>Postojna</c:v>
                </c:pt>
              </c:strCache>
            </c:strRef>
          </c:cat>
          <c:val>
            <c:numRef>
              <c:f>'NVO po občinah'!$N$3:$N$8</c:f>
              <c:numCache>
                <c:formatCode>0.0</c:formatCode>
                <c:ptCount val="6"/>
                <c:pt idx="0">
                  <c:v>1.25</c:v>
                </c:pt>
                <c:pt idx="1">
                  <c:v>15.19</c:v>
                </c:pt>
                <c:pt idx="2">
                  <c:v>7.6899999999999995</c:v>
                </c:pt>
                <c:pt idx="3">
                  <c:v>1</c:v>
                </c:pt>
                <c:pt idx="4">
                  <c:v>5.5</c:v>
                </c:pt>
                <c:pt idx="5">
                  <c:v>24.85</c:v>
                </c:pt>
              </c:numCache>
            </c:numRef>
          </c:val>
        </c:ser>
        <c:dLbls>
          <c:showLegendKey val="0"/>
          <c:showVal val="0"/>
          <c:showCatName val="0"/>
          <c:showSerName val="0"/>
          <c:showPercent val="0"/>
          <c:showBubbleSize val="0"/>
        </c:dLbls>
        <c:gapWidth val="150"/>
        <c:overlap val="100"/>
        <c:axId val="1177757712"/>
        <c:axId val="1309780192"/>
      </c:barChart>
      <c:catAx>
        <c:axId val="1177757712"/>
        <c:scaling>
          <c:orientation val="minMax"/>
        </c:scaling>
        <c:delete val="0"/>
        <c:axPos val="b"/>
        <c:numFmt formatCode="General" sourceLinked="0"/>
        <c:majorTickMark val="out"/>
        <c:minorTickMark val="none"/>
        <c:tickLblPos val="nextTo"/>
        <c:crossAx val="1309780192"/>
        <c:crosses val="autoZero"/>
        <c:auto val="1"/>
        <c:lblAlgn val="ctr"/>
        <c:lblOffset val="100"/>
        <c:noMultiLvlLbl val="0"/>
      </c:catAx>
      <c:valAx>
        <c:axId val="1309780192"/>
        <c:scaling>
          <c:orientation val="minMax"/>
        </c:scaling>
        <c:delete val="0"/>
        <c:axPos val="l"/>
        <c:majorGridlines/>
        <c:numFmt formatCode="0.0" sourceLinked="1"/>
        <c:majorTickMark val="out"/>
        <c:minorTickMark val="none"/>
        <c:tickLblPos val="nextTo"/>
        <c:crossAx val="117775771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baseline="0"/>
              <a:t>Število zaposlenih</a:t>
            </a:r>
            <a:r>
              <a:rPr lang="sl-SI" sz="1400" baseline="0"/>
              <a:t> in zaposlovalcev</a:t>
            </a:r>
          </a:p>
        </c:rich>
      </c:tx>
      <c:layout/>
      <c:overlay val="0"/>
    </c:title>
    <c:autoTitleDeleted val="0"/>
    <c:plotArea>
      <c:layout/>
      <c:barChart>
        <c:barDir val="col"/>
        <c:grouping val="clustered"/>
        <c:varyColors val="0"/>
        <c:ser>
          <c:idx val="0"/>
          <c:order val="0"/>
          <c:tx>
            <c:v>Število zaposlenih</c:v>
          </c:tx>
          <c:invertIfNegative val="0"/>
          <c:cat>
            <c:strRef>
              <c:f>('Po področjih'!$B$2,'Po področjih'!$B$3,'Po področjih'!$B$5,'Po področjih'!$B$6,'Po področjih'!$B$7,'Po področjih'!$B$8,'Po področjih'!$B$10)</c:f>
              <c:strCache>
                <c:ptCount val="7"/>
                <c:pt idx="0">
                  <c:v>Športna društva</c:v>
                </c:pt>
                <c:pt idx="1">
                  <c:v>Društva za pomoč ljudem (gasilci, invalidska...)</c:v>
                </c:pt>
                <c:pt idx="2">
                  <c:v>Izobraževalna, strokovna in poklicna društva</c:v>
                </c:pt>
                <c:pt idx="3">
                  <c:v>Društva za gojitev, vzrejo ter varstvo živali in rastlin</c:v>
                </c:pt>
                <c:pt idx="4">
                  <c:v>Stanovska društva (upokojenska, mladinska...)</c:v>
                </c:pt>
                <c:pt idx="5">
                  <c:v>Društva za razvoj kraja (turistična, običaji...)</c:v>
                </c:pt>
                <c:pt idx="6">
                  <c:v>Društva za duhovno življenje</c:v>
                </c:pt>
              </c:strCache>
            </c:strRef>
          </c:cat>
          <c:val>
            <c:numRef>
              <c:f>('Po področjih'!$D$2,'Po področjih'!$D$3,'Po področjih'!$D$5,'Po področjih'!$D$6,'Po področjih'!$D$7,'Po področjih'!$D$8,'Po področjih'!$D$10)</c:f>
              <c:numCache>
                <c:formatCode>General</c:formatCode>
                <c:ptCount val="7"/>
                <c:pt idx="0">
                  <c:v>8.07</c:v>
                </c:pt>
                <c:pt idx="1">
                  <c:v>28.87</c:v>
                </c:pt>
                <c:pt idx="2">
                  <c:v>0.83000000000000007</c:v>
                </c:pt>
                <c:pt idx="3">
                  <c:v>1.78</c:v>
                </c:pt>
                <c:pt idx="4">
                  <c:v>5</c:v>
                </c:pt>
                <c:pt idx="5">
                  <c:v>1</c:v>
                </c:pt>
                <c:pt idx="6">
                  <c:v>2.5</c:v>
                </c:pt>
              </c:numCache>
            </c:numRef>
          </c:val>
        </c:ser>
        <c:ser>
          <c:idx val="1"/>
          <c:order val="1"/>
          <c:tx>
            <c:v>Število zaposlovalcev</c:v>
          </c:tx>
          <c:invertIfNegative val="0"/>
          <c:val>
            <c:numRef>
              <c:f>('Po področjih'!$E$2,'Po področjih'!$E$3,'Po področjih'!$E$5,'Po področjih'!$E$6,'Po področjih'!$E$7,'Po področjih'!$E$8,'Po področjih'!$E$10)</c:f>
              <c:numCache>
                <c:formatCode>General</c:formatCode>
                <c:ptCount val="7"/>
                <c:pt idx="0">
                  <c:v>3</c:v>
                </c:pt>
                <c:pt idx="1">
                  <c:v>12</c:v>
                </c:pt>
                <c:pt idx="2">
                  <c:v>1</c:v>
                </c:pt>
                <c:pt idx="3">
                  <c:v>1</c:v>
                </c:pt>
                <c:pt idx="4">
                  <c:v>1</c:v>
                </c:pt>
                <c:pt idx="5">
                  <c:v>1</c:v>
                </c:pt>
                <c:pt idx="6">
                  <c:v>2</c:v>
                </c:pt>
              </c:numCache>
            </c:numRef>
          </c:val>
        </c:ser>
        <c:dLbls>
          <c:showLegendKey val="0"/>
          <c:showVal val="0"/>
          <c:showCatName val="0"/>
          <c:showSerName val="0"/>
          <c:showPercent val="0"/>
          <c:showBubbleSize val="0"/>
        </c:dLbls>
        <c:gapWidth val="150"/>
        <c:axId val="1310299296"/>
        <c:axId val="1310310720"/>
      </c:barChart>
      <c:catAx>
        <c:axId val="1310299296"/>
        <c:scaling>
          <c:orientation val="minMax"/>
        </c:scaling>
        <c:delete val="0"/>
        <c:axPos val="b"/>
        <c:numFmt formatCode="General" sourceLinked="0"/>
        <c:majorTickMark val="out"/>
        <c:minorTickMark val="none"/>
        <c:tickLblPos val="nextTo"/>
        <c:crossAx val="1310310720"/>
        <c:crosses val="autoZero"/>
        <c:auto val="1"/>
        <c:lblAlgn val="ctr"/>
        <c:lblOffset val="100"/>
        <c:noMultiLvlLbl val="0"/>
      </c:catAx>
      <c:valAx>
        <c:axId val="1310310720"/>
        <c:scaling>
          <c:orientation val="minMax"/>
        </c:scaling>
        <c:delete val="0"/>
        <c:axPos val="l"/>
        <c:majorGridlines/>
        <c:numFmt formatCode="General" sourceLinked="1"/>
        <c:majorTickMark val="out"/>
        <c:minorTickMark val="none"/>
        <c:tickLblPos val="nextTo"/>
        <c:crossAx val="1310299296"/>
        <c:crosses val="autoZero"/>
        <c:crossBetween val="between"/>
      </c:valAx>
    </c:plotArea>
    <c:legend>
      <c:legendPos val="t"/>
      <c:layout/>
      <c:overlay val="0"/>
    </c:legend>
    <c:plotVisOnly val="1"/>
    <c:dispBlanksAs val="gap"/>
    <c:showDLblsOverMax val="0"/>
  </c:chart>
  <c:spPr>
    <a:no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v>Neto presežki</c:v>
          </c:tx>
          <c:invertIfNegative val="0"/>
          <c:cat>
            <c:strRef>
              <c:f>'NVO po občinah'!$A$25:$A$31</c:f>
              <c:strCache>
                <c:ptCount val="7"/>
                <c:pt idx="0">
                  <c:v>Bloke</c:v>
                </c:pt>
                <c:pt idx="1">
                  <c:v>Cerknica</c:v>
                </c:pt>
                <c:pt idx="2">
                  <c:v>Ilirska Bistrica</c:v>
                </c:pt>
                <c:pt idx="3">
                  <c:v>Loška dolina</c:v>
                </c:pt>
                <c:pt idx="4">
                  <c:v>Pivka</c:v>
                </c:pt>
                <c:pt idx="5">
                  <c:v>Postojna</c:v>
                </c:pt>
                <c:pt idx="6">
                  <c:v>SKUPAJ</c:v>
                </c:pt>
              </c:strCache>
            </c:strRef>
          </c:cat>
          <c:val>
            <c:numRef>
              <c:f>'NVO po občinah'!$M$25:$M$31</c:f>
              <c:numCache>
                <c:formatCode>General</c:formatCode>
                <c:ptCount val="7"/>
                <c:pt idx="0">
                  <c:v>153.54166666666663</c:v>
                </c:pt>
                <c:pt idx="1">
                  <c:v>1175.2451612903228</c:v>
                </c:pt>
                <c:pt idx="2">
                  <c:v>218.74100719424459</c:v>
                </c:pt>
                <c:pt idx="3">
                  <c:v>1164.0416666666667</c:v>
                </c:pt>
                <c:pt idx="4">
                  <c:v>318.63235294117635</c:v>
                </c:pt>
                <c:pt idx="5">
                  <c:v>287.48275862068959</c:v>
                </c:pt>
                <c:pt idx="6">
                  <c:v>565.48684210526301</c:v>
                </c:pt>
              </c:numCache>
            </c:numRef>
          </c:val>
        </c:ser>
        <c:dLbls>
          <c:showLegendKey val="0"/>
          <c:showVal val="0"/>
          <c:showCatName val="0"/>
          <c:showSerName val="0"/>
          <c:showPercent val="0"/>
          <c:showBubbleSize val="0"/>
        </c:dLbls>
        <c:gapWidth val="150"/>
        <c:axId val="1309770944"/>
        <c:axId val="1309768768"/>
      </c:barChart>
      <c:catAx>
        <c:axId val="1309770944"/>
        <c:scaling>
          <c:orientation val="minMax"/>
        </c:scaling>
        <c:delete val="0"/>
        <c:axPos val="b"/>
        <c:numFmt formatCode="General" sourceLinked="0"/>
        <c:majorTickMark val="out"/>
        <c:minorTickMark val="none"/>
        <c:tickLblPos val="nextTo"/>
        <c:crossAx val="1309768768"/>
        <c:crosses val="autoZero"/>
        <c:auto val="1"/>
        <c:lblAlgn val="ctr"/>
        <c:lblOffset val="100"/>
        <c:noMultiLvlLbl val="0"/>
      </c:catAx>
      <c:valAx>
        <c:axId val="1309768768"/>
        <c:scaling>
          <c:orientation val="minMax"/>
        </c:scaling>
        <c:delete val="0"/>
        <c:axPos val="l"/>
        <c:majorGridlines/>
        <c:numFmt formatCode="General" sourceLinked="1"/>
        <c:majorTickMark val="out"/>
        <c:minorTickMark val="none"/>
        <c:tickLblPos val="nextTo"/>
        <c:crossAx val="130977094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071741032370933E-2"/>
          <c:y val="5.1400554097404488E-2"/>
          <c:w val="0.7003740157480316"/>
          <c:h val="0.71711504811898552"/>
        </c:manualLayout>
      </c:layout>
      <c:barChart>
        <c:barDir val="col"/>
        <c:grouping val="stacked"/>
        <c:varyColors val="0"/>
        <c:ser>
          <c:idx val="0"/>
          <c:order val="0"/>
          <c:tx>
            <c:v>Društva</c:v>
          </c:tx>
          <c:invertIfNegative val="0"/>
          <c:cat>
            <c:strRef>
              <c:f>'NVO po občinah'!$A$14:$A$20</c:f>
              <c:strCache>
                <c:ptCount val="7"/>
                <c:pt idx="0">
                  <c:v>Bloke</c:v>
                </c:pt>
                <c:pt idx="1">
                  <c:v>Cerknica</c:v>
                </c:pt>
                <c:pt idx="2">
                  <c:v>Ilirska Bistrica</c:v>
                </c:pt>
                <c:pt idx="3">
                  <c:v>Loška dolina</c:v>
                </c:pt>
                <c:pt idx="4">
                  <c:v>Pivka</c:v>
                </c:pt>
                <c:pt idx="5">
                  <c:v>Postojna</c:v>
                </c:pt>
                <c:pt idx="6">
                  <c:v>SKUPAJ</c:v>
                </c:pt>
              </c:strCache>
            </c:strRef>
          </c:cat>
          <c:val>
            <c:numRef>
              <c:f>'NVO po občinah'!#REF!</c:f>
              <c:numCache>
                <c:formatCode>General</c:formatCode>
                <c:ptCount val="1"/>
                <c:pt idx="0">
                  <c:v>1</c:v>
                </c:pt>
              </c:numCache>
            </c:numRef>
          </c:val>
        </c:ser>
        <c:ser>
          <c:idx val="1"/>
          <c:order val="1"/>
          <c:tx>
            <c:v>Zavodi, ustanove</c:v>
          </c:tx>
          <c:invertIfNegative val="0"/>
          <c:cat>
            <c:strRef>
              <c:f>'NVO po občinah'!$A$14:$A$20</c:f>
              <c:strCache>
                <c:ptCount val="7"/>
                <c:pt idx="0">
                  <c:v>Bloke</c:v>
                </c:pt>
                <c:pt idx="1">
                  <c:v>Cerknica</c:v>
                </c:pt>
                <c:pt idx="2">
                  <c:v>Ilirska Bistrica</c:v>
                </c:pt>
                <c:pt idx="3">
                  <c:v>Loška dolina</c:v>
                </c:pt>
                <c:pt idx="4">
                  <c:v>Pivka</c:v>
                </c:pt>
                <c:pt idx="5">
                  <c:v>Postojna</c:v>
                </c:pt>
                <c:pt idx="6">
                  <c:v>SKUPAJ</c:v>
                </c:pt>
              </c:strCache>
            </c:strRef>
          </c:cat>
          <c:val>
            <c:numRef>
              <c:f>'NVO po občinah'!$O$3:$O$9</c:f>
              <c:numCache>
                <c:formatCode>#,##0</c:formatCode>
                <c:ptCount val="7"/>
                <c:pt idx="0">
                  <c:v>19.496047430830036</c:v>
                </c:pt>
                <c:pt idx="1">
                  <c:v>90.57229179437779</c:v>
                </c:pt>
                <c:pt idx="2">
                  <c:v>19.047632984561343</c:v>
                </c:pt>
                <c:pt idx="3">
                  <c:v>43.987587276958884</c:v>
                </c:pt>
                <c:pt idx="4">
                  <c:v>43.390981169474728</c:v>
                </c:pt>
                <c:pt idx="5">
                  <c:v>46.922313740172235</c:v>
                </c:pt>
                <c:pt idx="6">
                  <c:v>48</c:v>
                </c:pt>
              </c:numCache>
            </c:numRef>
          </c:val>
        </c:ser>
        <c:dLbls>
          <c:showLegendKey val="0"/>
          <c:showVal val="0"/>
          <c:showCatName val="0"/>
          <c:showSerName val="0"/>
          <c:showPercent val="0"/>
          <c:showBubbleSize val="0"/>
        </c:dLbls>
        <c:gapWidth val="150"/>
        <c:overlap val="100"/>
        <c:axId val="1309777472"/>
        <c:axId val="1309771488"/>
      </c:barChart>
      <c:catAx>
        <c:axId val="1309777472"/>
        <c:scaling>
          <c:orientation val="minMax"/>
        </c:scaling>
        <c:delete val="0"/>
        <c:axPos val="b"/>
        <c:numFmt formatCode="General" sourceLinked="0"/>
        <c:majorTickMark val="out"/>
        <c:minorTickMark val="none"/>
        <c:tickLblPos val="nextTo"/>
        <c:crossAx val="1309771488"/>
        <c:crosses val="autoZero"/>
        <c:auto val="1"/>
        <c:lblAlgn val="ctr"/>
        <c:lblOffset val="100"/>
        <c:noMultiLvlLbl val="0"/>
      </c:catAx>
      <c:valAx>
        <c:axId val="1309771488"/>
        <c:scaling>
          <c:orientation val="minMax"/>
        </c:scaling>
        <c:delete val="0"/>
        <c:axPos val="l"/>
        <c:majorGridlines/>
        <c:numFmt formatCode="General" sourceLinked="1"/>
        <c:majorTickMark val="out"/>
        <c:minorTickMark val="none"/>
        <c:tickLblPos val="nextTo"/>
        <c:crossAx val="1309777472"/>
        <c:crosses val="autoZero"/>
        <c:crossBetween val="between"/>
      </c:valAx>
    </c:plotArea>
    <c:legend>
      <c:legendPos val="r"/>
      <c:layout>
        <c:manualLayout>
          <c:xMode val="edge"/>
          <c:yMode val="edge"/>
          <c:x val="0.80866797900262422"/>
          <c:y val="0.41628280839895054"/>
          <c:w val="0.17466535433070871"/>
          <c:h val="0.29243438320210002"/>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v>Prihodki / organizacijo</c:v>
          </c:tx>
          <c:invertIfNegative val="0"/>
          <c:cat>
            <c:strRef>
              <c:f>'NVO po občinah'!$A$25:$A$31</c:f>
              <c:strCache>
                <c:ptCount val="7"/>
                <c:pt idx="0">
                  <c:v>Bloke</c:v>
                </c:pt>
                <c:pt idx="1">
                  <c:v>Cerknica</c:v>
                </c:pt>
                <c:pt idx="2">
                  <c:v>Ilirska Bistrica</c:v>
                </c:pt>
                <c:pt idx="3">
                  <c:v>Loška dolina</c:v>
                </c:pt>
                <c:pt idx="4">
                  <c:v>Pivka</c:v>
                </c:pt>
                <c:pt idx="5">
                  <c:v>Postojna</c:v>
                </c:pt>
                <c:pt idx="6">
                  <c:v>SKUPAJ</c:v>
                </c:pt>
              </c:strCache>
            </c:strRef>
          </c:cat>
          <c:val>
            <c:numRef>
              <c:f>'NVO po občinah'!$H$25:$H$31</c:f>
              <c:numCache>
                <c:formatCode>#,##0</c:formatCode>
                <c:ptCount val="7"/>
                <c:pt idx="0">
                  <c:v>8590.6666666666642</c:v>
                </c:pt>
                <c:pt idx="1">
                  <c:v>22509.993548387094</c:v>
                </c:pt>
                <c:pt idx="2">
                  <c:v>14302.978417266188</c:v>
                </c:pt>
                <c:pt idx="3">
                  <c:v>13853.208333333332</c:v>
                </c:pt>
                <c:pt idx="4">
                  <c:v>10952.441176470587</c:v>
                </c:pt>
                <c:pt idx="5">
                  <c:v>21971.931034482757</c:v>
                </c:pt>
                <c:pt idx="6">
                  <c:v>17954.23519736842</c:v>
                </c:pt>
              </c:numCache>
            </c:numRef>
          </c:val>
        </c:ser>
        <c:dLbls>
          <c:showLegendKey val="0"/>
          <c:showVal val="0"/>
          <c:showCatName val="0"/>
          <c:showSerName val="0"/>
          <c:showPercent val="0"/>
          <c:showBubbleSize val="0"/>
        </c:dLbls>
        <c:gapWidth val="150"/>
        <c:axId val="1309768224"/>
        <c:axId val="1309774752"/>
      </c:barChart>
      <c:catAx>
        <c:axId val="1309768224"/>
        <c:scaling>
          <c:orientation val="minMax"/>
        </c:scaling>
        <c:delete val="0"/>
        <c:axPos val="b"/>
        <c:numFmt formatCode="General" sourceLinked="0"/>
        <c:majorTickMark val="out"/>
        <c:minorTickMark val="none"/>
        <c:tickLblPos val="nextTo"/>
        <c:crossAx val="1309774752"/>
        <c:crosses val="autoZero"/>
        <c:auto val="1"/>
        <c:lblAlgn val="ctr"/>
        <c:lblOffset val="100"/>
        <c:noMultiLvlLbl val="0"/>
      </c:catAx>
      <c:valAx>
        <c:axId val="1309774752"/>
        <c:scaling>
          <c:orientation val="minMax"/>
        </c:scaling>
        <c:delete val="0"/>
        <c:axPos val="l"/>
        <c:majorGridlines/>
        <c:numFmt formatCode="#,##0" sourceLinked="1"/>
        <c:majorTickMark val="out"/>
        <c:minorTickMark val="none"/>
        <c:tickLblPos val="nextTo"/>
        <c:crossAx val="130976822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'Po področjih'!$B$2</c:f>
              <c:strCache>
                <c:ptCount val="1"/>
                <c:pt idx="0">
                  <c:v>Športna društva</c:v>
                </c:pt>
              </c:strCache>
            </c:strRef>
          </c:tx>
          <c:invertIfNegative val="0"/>
          <c:val>
            <c:numRef>
              <c:f>'Po področjih'!$C$2</c:f>
              <c:numCache>
                <c:formatCode>#,##0</c:formatCode>
                <c:ptCount val="1"/>
                <c:pt idx="0">
                  <c:v>172</c:v>
                </c:pt>
              </c:numCache>
            </c:numRef>
          </c:val>
        </c:ser>
        <c:ser>
          <c:idx val="1"/>
          <c:order val="1"/>
          <c:tx>
            <c:strRef>
              <c:f>'Po področjih'!$B$3</c:f>
              <c:strCache>
                <c:ptCount val="1"/>
                <c:pt idx="0">
                  <c:v>Društva za pomoč ljudem (gasilci, invalidska...)</c:v>
                </c:pt>
              </c:strCache>
            </c:strRef>
          </c:tx>
          <c:invertIfNegative val="0"/>
          <c:val>
            <c:numRef>
              <c:f>'Po področjih'!$C$3</c:f>
              <c:numCache>
                <c:formatCode>#,##0</c:formatCode>
                <c:ptCount val="1"/>
                <c:pt idx="0">
                  <c:v>85</c:v>
                </c:pt>
              </c:numCache>
            </c:numRef>
          </c:val>
        </c:ser>
        <c:ser>
          <c:idx val="2"/>
          <c:order val="2"/>
          <c:tx>
            <c:strRef>
              <c:f>'Po področjih'!$B$4</c:f>
              <c:strCache>
                <c:ptCount val="1"/>
                <c:pt idx="0">
                  <c:v>Kulturna društva</c:v>
                </c:pt>
              </c:strCache>
            </c:strRef>
          </c:tx>
          <c:invertIfNegative val="0"/>
          <c:val>
            <c:numRef>
              <c:f>'Po področjih'!$C$4</c:f>
              <c:numCache>
                <c:formatCode>#,##0</c:formatCode>
                <c:ptCount val="1"/>
                <c:pt idx="0">
                  <c:v>101</c:v>
                </c:pt>
              </c:numCache>
            </c:numRef>
          </c:val>
        </c:ser>
        <c:ser>
          <c:idx val="3"/>
          <c:order val="3"/>
          <c:tx>
            <c:strRef>
              <c:f>'Po področjih'!$B$5</c:f>
              <c:strCache>
                <c:ptCount val="1"/>
                <c:pt idx="0">
                  <c:v>Izobraževalna, strokovna in poklicna društva</c:v>
                </c:pt>
              </c:strCache>
            </c:strRef>
          </c:tx>
          <c:invertIfNegative val="0"/>
          <c:val>
            <c:numRef>
              <c:f>'Po področjih'!$C$5</c:f>
              <c:numCache>
                <c:formatCode>#,##0</c:formatCode>
                <c:ptCount val="1"/>
                <c:pt idx="0">
                  <c:v>31</c:v>
                </c:pt>
              </c:numCache>
            </c:numRef>
          </c:val>
        </c:ser>
        <c:ser>
          <c:idx val="4"/>
          <c:order val="4"/>
          <c:tx>
            <c:strRef>
              <c:f>'Po področjih'!$B$6</c:f>
              <c:strCache>
                <c:ptCount val="1"/>
                <c:pt idx="0">
                  <c:v>Društva za gojitev, vzrejo ter varstvo živali in rastlin</c:v>
                </c:pt>
              </c:strCache>
            </c:strRef>
          </c:tx>
          <c:invertIfNegative val="0"/>
          <c:val>
            <c:numRef>
              <c:f>'Po področjih'!$C$6</c:f>
              <c:numCache>
                <c:formatCode>#,##0</c:formatCode>
                <c:ptCount val="1"/>
                <c:pt idx="0">
                  <c:v>64</c:v>
                </c:pt>
              </c:numCache>
            </c:numRef>
          </c:val>
        </c:ser>
        <c:ser>
          <c:idx val="5"/>
          <c:order val="5"/>
          <c:tx>
            <c:strRef>
              <c:f>'Po področjih'!$B$7</c:f>
              <c:strCache>
                <c:ptCount val="1"/>
                <c:pt idx="0">
                  <c:v>Stanovska društva (upokojenska, mladinska...)</c:v>
                </c:pt>
              </c:strCache>
            </c:strRef>
          </c:tx>
          <c:invertIfNegative val="0"/>
          <c:val>
            <c:numRef>
              <c:f>'Po področjih'!$C$7</c:f>
              <c:numCache>
                <c:formatCode>#,##0</c:formatCode>
                <c:ptCount val="1"/>
                <c:pt idx="0">
                  <c:v>24</c:v>
                </c:pt>
              </c:numCache>
            </c:numRef>
          </c:val>
        </c:ser>
        <c:ser>
          <c:idx val="6"/>
          <c:order val="6"/>
          <c:tx>
            <c:strRef>
              <c:f>'Po področjih'!$B$8</c:f>
              <c:strCache>
                <c:ptCount val="1"/>
                <c:pt idx="0">
                  <c:v>Društva za razvoj kraja (turistična, običaji...)</c:v>
                </c:pt>
              </c:strCache>
            </c:strRef>
          </c:tx>
          <c:invertIfNegative val="0"/>
          <c:val>
            <c:numRef>
              <c:f>'Po področjih'!$C$8</c:f>
              <c:numCache>
                <c:formatCode>#,##0</c:formatCode>
                <c:ptCount val="1"/>
                <c:pt idx="0">
                  <c:v>38</c:v>
                </c:pt>
              </c:numCache>
            </c:numRef>
          </c:val>
        </c:ser>
        <c:ser>
          <c:idx val="7"/>
          <c:order val="7"/>
          <c:tx>
            <c:strRef>
              <c:f>'Po področjih'!$B$9</c:f>
              <c:strCache>
                <c:ptCount val="1"/>
                <c:pt idx="0">
                  <c:v>Nacionalna in politična društva</c:v>
                </c:pt>
              </c:strCache>
            </c:strRef>
          </c:tx>
          <c:invertIfNegative val="0"/>
          <c:val>
            <c:numRef>
              <c:f>'Po področjih'!$C$9</c:f>
              <c:numCache>
                <c:formatCode>#,##0</c:formatCode>
                <c:ptCount val="1"/>
                <c:pt idx="0">
                  <c:v>2</c:v>
                </c:pt>
              </c:numCache>
            </c:numRef>
          </c:val>
        </c:ser>
        <c:ser>
          <c:idx val="8"/>
          <c:order val="8"/>
          <c:tx>
            <c:strRef>
              <c:f>'Po področjih'!$B$10</c:f>
              <c:strCache>
                <c:ptCount val="1"/>
                <c:pt idx="0">
                  <c:v>Društva za duhovno življenje</c:v>
                </c:pt>
              </c:strCache>
            </c:strRef>
          </c:tx>
          <c:invertIfNegative val="0"/>
          <c:val>
            <c:numRef>
              <c:f>'Po področjih'!$C$10</c:f>
              <c:numCache>
                <c:formatCode>#,##0</c:formatCode>
                <c:ptCount val="1"/>
                <c:pt idx="0">
                  <c:v>11</c:v>
                </c:pt>
              </c:numCache>
            </c:numRef>
          </c:val>
        </c:ser>
        <c:ser>
          <c:idx val="9"/>
          <c:order val="9"/>
          <c:tx>
            <c:strRef>
              <c:f>'Po področjih'!$B$11</c:f>
              <c:strCache>
                <c:ptCount val="1"/>
                <c:pt idx="0">
                  <c:v>Druga društva</c:v>
                </c:pt>
              </c:strCache>
            </c:strRef>
          </c:tx>
          <c:invertIfNegative val="0"/>
          <c:val>
            <c:numRef>
              <c:f>'Po področjih'!$C$11</c:f>
              <c:numCache>
                <c:formatCode>#,##0</c:formatCode>
                <c:ptCount val="1"/>
                <c:pt idx="0">
                  <c:v>26</c:v>
                </c:pt>
              </c:numCache>
            </c:numRef>
          </c:val>
        </c:ser>
        <c:dLbls>
          <c:showLegendKey val="0"/>
          <c:showVal val="0"/>
          <c:showCatName val="0"/>
          <c:showSerName val="0"/>
          <c:showPercent val="0"/>
          <c:showBubbleSize val="0"/>
        </c:dLbls>
        <c:gapWidth val="150"/>
        <c:overlap val="100"/>
        <c:axId val="1309770400"/>
        <c:axId val="1309774208"/>
      </c:barChart>
      <c:catAx>
        <c:axId val="1309770400"/>
        <c:scaling>
          <c:orientation val="minMax"/>
        </c:scaling>
        <c:delete val="1"/>
        <c:axPos val="b"/>
        <c:majorTickMark val="out"/>
        <c:minorTickMark val="none"/>
        <c:tickLblPos val="none"/>
        <c:crossAx val="1309774208"/>
        <c:crosses val="autoZero"/>
        <c:auto val="1"/>
        <c:lblAlgn val="ctr"/>
        <c:lblOffset val="100"/>
        <c:noMultiLvlLbl val="0"/>
      </c:catAx>
      <c:valAx>
        <c:axId val="1309774208"/>
        <c:scaling>
          <c:orientation val="minMax"/>
        </c:scaling>
        <c:delete val="0"/>
        <c:axPos val="l"/>
        <c:majorGridlines/>
        <c:numFmt formatCode="0%" sourceLinked="1"/>
        <c:majorTickMark val="out"/>
        <c:minorTickMark val="none"/>
        <c:tickLblPos val="nextTo"/>
        <c:crossAx val="1309770400"/>
        <c:crosses val="autoZero"/>
        <c:crossBetween val="between"/>
      </c:valAx>
    </c:plotArea>
    <c:legend>
      <c:legendPos val="r"/>
      <c:layout>
        <c:manualLayout>
          <c:xMode val="edge"/>
          <c:yMode val="edge"/>
          <c:x val="0.63682086614173294"/>
          <c:y val="5.3632245803519364E-2"/>
          <c:w val="0.33540135608049015"/>
          <c:h val="0.92282995807368218"/>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baseline="0"/>
              <a:t>Število društev po področjih</a:t>
            </a:r>
          </a:p>
        </c:rich>
      </c:tx>
      <c:layout/>
      <c:overlay val="0"/>
    </c:title>
    <c:autoTitleDeleted val="0"/>
    <c:plotArea>
      <c:layout/>
      <c:barChart>
        <c:barDir val="col"/>
        <c:grouping val="clustered"/>
        <c:varyColors val="0"/>
        <c:ser>
          <c:idx val="0"/>
          <c:order val="0"/>
          <c:tx>
            <c:v>Število društev po področjih</c:v>
          </c:tx>
          <c:invertIfNegative val="0"/>
          <c:cat>
            <c:strRef>
              <c:f>'Po področjih'!$B$2:$B$11</c:f>
              <c:strCache>
                <c:ptCount val="10"/>
                <c:pt idx="0">
                  <c:v>Športna društva</c:v>
                </c:pt>
                <c:pt idx="1">
                  <c:v>Društva za pomoč ljudem (gasilci, invalidska...)</c:v>
                </c:pt>
                <c:pt idx="2">
                  <c:v>Kulturna društva</c:v>
                </c:pt>
                <c:pt idx="3">
                  <c:v>Izobraževalna, strokovna in poklicna društva</c:v>
                </c:pt>
                <c:pt idx="4">
                  <c:v>Društva za gojitev, vzrejo ter varstvo živali in rastlin</c:v>
                </c:pt>
                <c:pt idx="5">
                  <c:v>Stanovska društva (upokojenska, mladinska...)</c:v>
                </c:pt>
                <c:pt idx="6">
                  <c:v>Društva za razvoj kraja (turistična, običaji...)</c:v>
                </c:pt>
                <c:pt idx="7">
                  <c:v>Nacionalna in politična društva</c:v>
                </c:pt>
                <c:pt idx="8">
                  <c:v>Društva za duhovno življenje</c:v>
                </c:pt>
                <c:pt idx="9">
                  <c:v>Druga društva</c:v>
                </c:pt>
              </c:strCache>
            </c:strRef>
          </c:cat>
          <c:val>
            <c:numRef>
              <c:f>'Po področjih'!$C$2:$C$11</c:f>
              <c:numCache>
                <c:formatCode>#,##0</c:formatCode>
                <c:ptCount val="10"/>
                <c:pt idx="0">
                  <c:v>172</c:v>
                </c:pt>
                <c:pt idx="1">
                  <c:v>85</c:v>
                </c:pt>
                <c:pt idx="2">
                  <c:v>101</c:v>
                </c:pt>
                <c:pt idx="3">
                  <c:v>31</c:v>
                </c:pt>
                <c:pt idx="4">
                  <c:v>64</c:v>
                </c:pt>
                <c:pt idx="5">
                  <c:v>24</c:v>
                </c:pt>
                <c:pt idx="6">
                  <c:v>38</c:v>
                </c:pt>
                <c:pt idx="7">
                  <c:v>2</c:v>
                </c:pt>
                <c:pt idx="8">
                  <c:v>11</c:v>
                </c:pt>
                <c:pt idx="9">
                  <c:v>26</c:v>
                </c:pt>
              </c:numCache>
            </c:numRef>
          </c:val>
        </c:ser>
        <c:dLbls>
          <c:showLegendKey val="0"/>
          <c:showVal val="0"/>
          <c:showCatName val="0"/>
          <c:showSerName val="0"/>
          <c:showPercent val="0"/>
          <c:showBubbleSize val="0"/>
        </c:dLbls>
        <c:gapWidth val="150"/>
        <c:axId val="1309775840"/>
        <c:axId val="1309767680"/>
      </c:barChart>
      <c:catAx>
        <c:axId val="1309775840"/>
        <c:scaling>
          <c:orientation val="minMax"/>
        </c:scaling>
        <c:delete val="0"/>
        <c:axPos val="b"/>
        <c:numFmt formatCode="General" sourceLinked="0"/>
        <c:majorTickMark val="out"/>
        <c:minorTickMark val="none"/>
        <c:tickLblPos val="nextTo"/>
        <c:crossAx val="1309767680"/>
        <c:crosses val="autoZero"/>
        <c:auto val="1"/>
        <c:lblAlgn val="ctr"/>
        <c:lblOffset val="100"/>
        <c:noMultiLvlLbl val="0"/>
      </c:catAx>
      <c:valAx>
        <c:axId val="1309767680"/>
        <c:scaling>
          <c:orientation val="minMax"/>
        </c:scaling>
        <c:delete val="0"/>
        <c:axPos val="l"/>
        <c:majorGridlines/>
        <c:numFmt formatCode="#,##0" sourceLinked="1"/>
        <c:majorTickMark val="out"/>
        <c:minorTickMark val="none"/>
        <c:tickLblPos val="nextTo"/>
        <c:crossAx val="130977584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baseline="0"/>
              <a:t>Celotni prihodki po področjih</a:t>
            </a:r>
          </a:p>
        </c:rich>
      </c:tx>
      <c:layout/>
      <c:overlay val="0"/>
    </c:title>
    <c:autoTitleDeleted val="0"/>
    <c:plotArea>
      <c:layout/>
      <c:barChart>
        <c:barDir val="col"/>
        <c:grouping val="clustered"/>
        <c:varyColors val="0"/>
        <c:ser>
          <c:idx val="0"/>
          <c:order val="0"/>
          <c:tx>
            <c:v>Celotni prihodki po področjih</c:v>
          </c:tx>
          <c:invertIfNegative val="0"/>
          <c:cat>
            <c:strRef>
              <c:f>'Po področjih'!$B$2:$B$11</c:f>
              <c:strCache>
                <c:ptCount val="10"/>
                <c:pt idx="0">
                  <c:v>Športna društva</c:v>
                </c:pt>
                <c:pt idx="1">
                  <c:v>Društva za pomoč ljudem (gasilci, invalidska...)</c:v>
                </c:pt>
                <c:pt idx="2">
                  <c:v>Kulturna društva</c:v>
                </c:pt>
                <c:pt idx="3">
                  <c:v>Izobraževalna, strokovna in poklicna društva</c:v>
                </c:pt>
                <c:pt idx="4">
                  <c:v>Društva za gojitev, vzrejo ter varstvo živali in rastlin</c:v>
                </c:pt>
                <c:pt idx="5">
                  <c:v>Stanovska društva (upokojenska, mladinska...)</c:v>
                </c:pt>
                <c:pt idx="6">
                  <c:v>Društva za razvoj kraja (turistična, običaji...)</c:v>
                </c:pt>
                <c:pt idx="7">
                  <c:v>Nacionalna in politična društva</c:v>
                </c:pt>
                <c:pt idx="8">
                  <c:v>Društva za duhovno življenje</c:v>
                </c:pt>
                <c:pt idx="9">
                  <c:v>Druga društva</c:v>
                </c:pt>
              </c:strCache>
            </c:strRef>
          </c:cat>
          <c:val>
            <c:numRef>
              <c:f>'Po področjih'!$G$2:$G$11</c:f>
              <c:numCache>
                <c:formatCode>#,##0</c:formatCode>
                <c:ptCount val="10"/>
                <c:pt idx="0">
                  <c:v>2448054</c:v>
                </c:pt>
                <c:pt idx="1">
                  <c:v>3264684</c:v>
                </c:pt>
                <c:pt idx="2">
                  <c:v>764602</c:v>
                </c:pt>
                <c:pt idx="3">
                  <c:v>168862</c:v>
                </c:pt>
                <c:pt idx="4">
                  <c:v>754522</c:v>
                </c:pt>
                <c:pt idx="5">
                  <c:v>576923</c:v>
                </c:pt>
                <c:pt idx="6">
                  <c:v>335289</c:v>
                </c:pt>
                <c:pt idx="7">
                  <c:v>11982</c:v>
                </c:pt>
                <c:pt idx="8">
                  <c:v>35648</c:v>
                </c:pt>
                <c:pt idx="9">
                  <c:v>46679</c:v>
                </c:pt>
              </c:numCache>
            </c:numRef>
          </c:val>
        </c:ser>
        <c:dLbls>
          <c:showLegendKey val="0"/>
          <c:showVal val="0"/>
          <c:showCatName val="0"/>
          <c:showSerName val="0"/>
          <c:showPercent val="0"/>
          <c:showBubbleSize val="0"/>
        </c:dLbls>
        <c:gapWidth val="150"/>
        <c:axId val="1309767136"/>
        <c:axId val="1309776384"/>
      </c:barChart>
      <c:catAx>
        <c:axId val="1309767136"/>
        <c:scaling>
          <c:orientation val="minMax"/>
        </c:scaling>
        <c:delete val="0"/>
        <c:axPos val="b"/>
        <c:numFmt formatCode="General" sourceLinked="0"/>
        <c:majorTickMark val="out"/>
        <c:minorTickMark val="none"/>
        <c:tickLblPos val="nextTo"/>
        <c:crossAx val="1309776384"/>
        <c:crosses val="autoZero"/>
        <c:auto val="1"/>
        <c:lblAlgn val="ctr"/>
        <c:lblOffset val="100"/>
        <c:noMultiLvlLbl val="0"/>
      </c:catAx>
      <c:valAx>
        <c:axId val="1309776384"/>
        <c:scaling>
          <c:orientation val="minMax"/>
        </c:scaling>
        <c:delete val="0"/>
        <c:axPos val="l"/>
        <c:majorGridlines/>
        <c:numFmt formatCode="#,##0" sourceLinked="1"/>
        <c:majorTickMark val="out"/>
        <c:minorTickMark val="none"/>
        <c:tickLblPos val="nextTo"/>
        <c:crossAx val="130976713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v>Prihodki / organizacijo po področjih</c:v>
          </c:tx>
          <c:invertIfNegative val="0"/>
          <c:cat>
            <c:strRef>
              <c:f>'Po področjih'!$B$2:$B$11</c:f>
              <c:strCache>
                <c:ptCount val="10"/>
                <c:pt idx="0">
                  <c:v>Športna društva</c:v>
                </c:pt>
                <c:pt idx="1">
                  <c:v>Društva za pomoč ljudem (gasilci, invalidska...)</c:v>
                </c:pt>
                <c:pt idx="2">
                  <c:v>Kulturna društva</c:v>
                </c:pt>
                <c:pt idx="3">
                  <c:v>Izobraževalna, strokovna in poklicna društva</c:v>
                </c:pt>
                <c:pt idx="4">
                  <c:v>Društva za gojitev, vzrejo ter varstvo živali in rastlin</c:v>
                </c:pt>
                <c:pt idx="5">
                  <c:v>Stanovska društva (upokojenska, mladinska...)</c:v>
                </c:pt>
                <c:pt idx="6">
                  <c:v>Društva za razvoj kraja (turistična, običaji...)</c:v>
                </c:pt>
                <c:pt idx="7">
                  <c:v>Nacionalna in politična društva</c:v>
                </c:pt>
                <c:pt idx="8">
                  <c:v>Društva za duhovno življenje</c:v>
                </c:pt>
                <c:pt idx="9">
                  <c:v>Druga društva</c:v>
                </c:pt>
              </c:strCache>
            </c:strRef>
          </c:cat>
          <c:val>
            <c:numRef>
              <c:f>'Po področjih'!$H$2:$H$11</c:f>
              <c:numCache>
                <c:formatCode>#,##0</c:formatCode>
                <c:ptCount val="10"/>
                <c:pt idx="0">
                  <c:v>14232.872093023252</c:v>
                </c:pt>
                <c:pt idx="1">
                  <c:v>38408.047058823533</c:v>
                </c:pt>
                <c:pt idx="2">
                  <c:v>7570.3168316831698</c:v>
                </c:pt>
                <c:pt idx="3">
                  <c:v>5447.1612903225823</c:v>
                </c:pt>
                <c:pt idx="4">
                  <c:v>11789.40625</c:v>
                </c:pt>
                <c:pt idx="5">
                  <c:v>24038.458333333332</c:v>
                </c:pt>
                <c:pt idx="6">
                  <c:v>8823.3947368421068</c:v>
                </c:pt>
                <c:pt idx="7">
                  <c:v>5991</c:v>
                </c:pt>
                <c:pt idx="8">
                  <c:v>3240.7272727272721</c:v>
                </c:pt>
                <c:pt idx="9">
                  <c:v>1795.346153846154</c:v>
                </c:pt>
              </c:numCache>
            </c:numRef>
          </c:val>
        </c:ser>
        <c:dLbls>
          <c:showLegendKey val="0"/>
          <c:showVal val="0"/>
          <c:showCatName val="0"/>
          <c:showSerName val="0"/>
          <c:showPercent val="0"/>
          <c:showBubbleSize val="0"/>
        </c:dLbls>
        <c:gapWidth val="150"/>
        <c:axId val="1309781280"/>
        <c:axId val="1309769856"/>
      </c:barChart>
      <c:catAx>
        <c:axId val="1309781280"/>
        <c:scaling>
          <c:orientation val="minMax"/>
        </c:scaling>
        <c:delete val="0"/>
        <c:axPos val="b"/>
        <c:numFmt formatCode="General" sourceLinked="0"/>
        <c:majorTickMark val="out"/>
        <c:minorTickMark val="none"/>
        <c:tickLblPos val="nextTo"/>
        <c:crossAx val="1309769856"/>
        <c:crosses val="autoZero"/>
        <c:auto val="1"/>
        <c:lblAlgn val="ctr"/>
        <c:lblOffset val="100"/>
        <c:noMultiLvlLbl val="0"/>
      </c:catAx>
      <c:valAx>
        <c:axId val="1309769856"/>
        <c:scaling>
          <c:orientation val="minMax"/>
        </c:scaling>
        <c:delete val="0"/>
        <c:axPos val="l"/>
        <c:majorGridlines/>
        <c:numFmt formatCode="#,##0" sourceLinked="1"/>
        <c:majorTickMark val="out"/>
        <c:minorTickMark val="none"/>
        <c:tickLblPos val="nextTo"/>
        <c:crossAx val="1309781280"/>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578718285214369"/>
          <c:y val="5.1400554097404488E-2"/>
          <c:w val="0.65225590551181145"/>
          <c:h val="0.56062514912908656"/>
        </c:manualLayout>
      </c:layout>
      <c:barChart>
        <c:barDir val="col"/>
        <c:grouping val="percentStacked"/>
        <c:varyColors val="0"/>
        <c:ser>
          <c:idx val="1"/>
          <c:order val="0"/>
          <c:tx>
            <c:v>Nepridobitna dejavnost</c:v>
          </c:tx>
          <c:invertIfNegative val="0"/>
          <c:cat>
            <c:strRef>
              <c:f>'Po področjih'!$B$2:$B$11</c:f>
              <c:strCache>
                <c:ptCount val="10"/>
                <c:pt idx="0">
                  <c:v>Športna društva</c:v>
                </c:pt>
                <c:pt idx="1">
                  <c:v>Društva za pomoč ljudem (gasilci, invalidska...)</c:v>
                </c:pt>
                <c:pt idx="2">
                  <c:v>Kulturna društva</c:v>
                </c:pt>
                <c:pt idx="3">
                  <c:v>Izobraževalna, strokovna in poklicna društva</c:v>
                </c:pt>
                <c:pt idx="4">
                  <c:v>Društva za gojitev, vzrejo ter varstvo živali in rastlin</c:v>
                </c:pt>
                <c:pt idx="5">
                  <c:v>Stanovska društva (upokojenska, mladinska...)</c:v>
                </c:pt>
                <c:pt idx="6">
                  <c:v>Društva za razvoj kraja (turistična, običaji...)</c:v>
                </c:pt>
                <c:pt idx="7">
                  <c:v>Nacionalna in politična društva</c:v>
                </c:pt>
                <c:pt idx="8">
                  <c:v>Društva za duhovno življenje</c:v>
                </c:pt>
                <c:pt idx="9">
                  <c:v>Druga društva</c:v>
                </c:pt>
              </c:strCache>
            </c:strRef>
          </c:cat>
          <c:val>
            <c:numRef>
              <c:f>'Po področjih'!$N$2:$N$11</c:f>
              <c:numCache>
                <c:formatCode>0.0%</c:formatCode>
                <c:ptCount val="10"/>
                <c:pt idx="0">
                  <c:v>0.66175705274475172</c:v>
                </c:pt>
                <c:pt idx="1">
                  <c:v>0.84655635890027947</c:v>
                </c:pt>
                <c:pt idx="2">
                  <c:v>0.63815946073905128</c:v>
                </c:pt>
                <c:pt idx="3">
                  <c:v>0.6468891757766696</c:v>
                </c:pt>
                <c:pt idx="4">
                  <c:v>0.51404995480582427</c:v>
                </c:pt>
                <c:pt idx="5">
                  <c:v>0.84114864548648616</c:v>
                </c:pt>
                <c:pt idx="6">
                  <c:v>0.58532788132029367</c:v>
                </c:pt>
                <c:pt idx="7">
                  <c:v>1</c:v>
                </c:pt>
                <c:pt idx="8">
                  <c:v>0.64845152603231604</c:v>
                </c:pt>
                <c:pt idx="9">
                  <c:v>0.83714304076779711</c:v>
                </c:pt>
              </c:numCache>
            </c:numRef>
          </c:val>
        </c:ser>
        <c:ser>
          <c:idx val="0"/>
          <c:order val="1"/>
          <c:tx>
            <c:v>Pridobitna dejavnost</c:v>
          </c:tx>
          <c:invertIfNegative val="0"/>
          <c:cat>
            <c:strRef>
              <c:f>'Po področjih'!$B$2:$B$11</c:f>
              <c:strCache>
                <c:ptCount val="10"/>
                <c:pt idx="0">
                  <c:v>Športna društva</c:v>
                </c:pt>
                <c:pt idx="1">
                  <c:v>Društva za pomoč ljudem (gasilci, invalidska...)</c:v>
                </c:pt>
                <c:pt idx="2">
                  <c:v>Kulturna društva</c:v>
                </c:pt>
                <c:pt idx="3">
                  <c:v>Izobraževalna, strokovna in poklicna društva</c:v>
                </c:pt>
                <c:pt idx="4">
                  <c:v>Društva za gojitev, vzrejo ter varstvo živali in rastlin</c:v>
                </c:pt>
                <c:pt idx="5">
                  <c:v>Stanovska društva (upokojenska, mladinska...)</c:v>
                </c:pt>
                <c:pt idx="6">
                  <c:v>Društva za razvoj kraja (turistična, običaji...)</c:v>
                </c:pt>
                <c:pt idx="7">
                  <c:v>Nacionalna in politična društva</c:v>
                </c:pt>
                <c:pt idx="8">
                  <c:v>Društva za duhovno življenje</c:v>
                </c:pt>
                <c:pt idx="9">
                  <c:v>Druga društva</c:v>
                </c:pt>
              </c:strCache>
            </c:strRef>
          </c:cat>
          <c:val>
            <c:numRef>
              <c:f>'Po področjih'!$K$2:$K$11</c:f>
              <c:numCache>
                <c:formatCode>0.0%</c:formatCode>
                <c:ptCount val="10"/>
                <c:pt idx="0">
                  <c:v>0.33824294725524856</c:v>
                </c:pt>
                <c:pt idx="1">
                  <c:v>0.15344364109972058</c:v>
                </c:pt>
                <c:pt idx="2">
                  <c:v>0.36184053926094895</c:v>
                </c:pt>
                <c:pt idx="3">
                  <c:v>0.35311082422333034</c:v>
                </c:pt>
                <c:pt idx="4">
                  <c:v>0.48595004519417595</c:v>
                </c:pt>
                <c:pt idx="5">
                  <c:v>0.15885135451351393</c:v>
                </c:pt>
                <c:pt idx="6">
                  <c:v>0.41467211867970621</c:v>
                </c:pt>
                <c:pt idx="8">
                  <c:v>0.35154847396768413</c:v>
                </c:pt>
                <c:pt idx="9">
                  <c:v>0.16285695923220292</c:v>
                </c:pt>
              </c:numCache>
            </c:numRef>
          </c:val>
        </c:ser>
        <c:dLbls>
          <c:showLegendKey val="0"/>
          <c:showVal val="0"/>
          <c:showCatName val="0"/>
          <c:showSerName val="0"/>
          <c:showPercent val="0"/>
          <c:showBubbleSize val="0"/>
        </c:dLbls>
        <c:gapWidth val="150"/>
        <c:overlap val="100"/>
        <c:axId val="1310300928"/>
        <c:axId val="1310306368"/>
      </c:barChart>
      <c:catAx>
        <c:axId val="1310300928"/>
        <c:scaling>
          <c:orientation val="minMax"/>
        </c:scaling>
        <c:delete val="0"/>
        <c:axPos val="b"/>
        <c:numFmt formatCode="General" sourceLinked="0"/>
        <c:majorTickMark val="out"/>
        <c:minorTickMark val="none"/>
        <c:tickLblPos val="nextTo"/>
        <c:txPr>
          <a:bodyPr/>
          <a:lstStyle/>
          <a:p>
            <a:pPr>
              <a:defRPr sz="900" baseline="0"/>
            </a:pPr>
            <a:endParaRPr lang="sl-SI"/>
          </a:p>
        </c:txPr>
        <c:crossAx val="1310306368"/>
        <c:crosses val="autoZero"/>
        <c:auto val="1"/>
        <c:lblAlgn val="ctr"/>
        <c:lblOffset val="100"/>
        <c:noMultiLvlLbl val="0"/>
      </c:catAx>
      <c:valAx>
        <c:axId val="1310306368"/>
        <c:scaling>
          <c:orientation val="minMax"/>
        </c:scaling>
        <c:delete val="0"/>
        <c:axPos val="l"/>
        <c:majorGridlines/>
        <c:numFmt formatCode="0%" sourceLinked="1"/>
        <c:majorTickMark val="out"/>
        <c:minorTickMark val="none"/>
        <c:tickLblPos val="nextTo"/>
        <c:crossAx val="1310300928"/>
        <c:crosses val="autoZero"/>
        <c:crossBetween val="between"/>
      </c:valAx>
    </c:plotArea>
    <c:legend>
      <c:legendPos val="r"/>
      <c:layout>
        <c:manualLayout>
          <c:xMode val="edge"/>
          <c:yMode val="edge"/>
          <c:x val="0.78915415573053349"/>
          <c:y val="0.15491917203531394"/>
          <c:w val="0.19417913385826771"/>
          <c:h val="0.29706401283172934"/>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1090</Words>
  <Characters>6216</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Borza</Company>
  <LinksUpToDate>false</LinksUpToDate>
  <CharactersWithSpaces>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cp:revision>
  <dcterms:created xsi:type="dcterms:W3CDTF">2016-10-19T07:22:00Z</dcterms:created>
  <dcterms:modified xsi:type="dcterms:W3CDTF">2016-10-19T07:22:00Z</dcterms:modified>
</cp:coreProperties>
</file>